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6FE71C1" w:rsidR="00093CA9" w:rsidRDefault="00CB188F" w:rsidP="00093CA9">
            <w:r w:rsidRPr="00CB188F">
              <w:t>Dentons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AD8A3B6" w:rsidR="00093CA9" w:rsidRDefault="005D3965" w:rsidP="00093CA9">
            <w:r w:rsidRPr="005D3965">
              <w:t>UAE Principes for effective management of climate-related financial risks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2CBB754" w:rsidR="00093CA9" w:rsidRDefault="00126B9E" w:rsidP="00093CA9">
            <w:hyperlink r:id="rId17" w:history="1">
              <w:r w:rsidRPr="00126B9E">
                <w:rPr>
                  <w:rStyle w:val="Hyperlink"/>
                </w:rPr>
                <w:t>Principles for the effective management of climate-related financial risks UAE.pdf</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55DD1461" w:rsidR="00093CA9" w:rsidRDefault="00CB188F"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D63BA1D" w:rsidR="00093CA9" w:rsidRDefault="00CB188F"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AC14B1C" w:rsidR="00093CA9" w:rsidRDefault="005D3965"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64481B79" w14:textId="5667F028" w:rsidR="00367BCF" w:rsidRDefault="00821CF0" w:rsidP="00B46666">
            <w:r>
              <w:t xml:space="preserve">This policy tool was </w:t>
            </w:r>
            <w:r w:rsidR="00367BCF">
              <w:t>developed</w:t>
            </w:r>
            <w:r>
              <w:t xml:space="preserve"> as part of the guiding principles to </w:t>
            </w:r>
            <w:r w:rsidR="00367BCF">
              <w:t>establish</w:t>
            </w:r>
            <w:r>
              <w:t xml:space="preserve"> standards for the financial sector</w:t>
            </w:r>
            <w:r w:rsidR="00367BCF">
              <w:t>, aiming to integrate ESG</w:t>
            </w:r>
            <w:r>
              <w:t xml:space="preserve"> factors into corporate governance, strategy and risk </w:t>
            </w:r>
            <w:r w:rsidR="00B46666">
              <w:t>management</w:t>
            </w:r>
            <w:r w:rsidR="00367BCF">
              <w:t xml:space="preserve">. Its purpose is to facilitate the </w:t>
            </w:r>
            <w:r>
              <w:t xml:space="preserve">UAE's economic transition and </w:t>
            </w:r>
            <w:r w:rsidR="00367BCF">
              <w:t>promote</w:t>
            </w:r>
            <w:r>
              <w:t xml:space="preserve"> the adoption of sustainable finance at the national level. </w:t>
            </w:r>
            <w:r w:rsidR="00367BCF">
              <w:t>Specifically, this</w:t>
            </w:r>
            <w:r>
              <w:t xml:space="preserve"> policy tool</w:t>
            </w:r>
            <w:r w:rsidR="00B46666">
              <w:t xml:space="preserve"> was implemented to enhance standards </w:t>
            </w:r>
            <w:r w:rsidR="00367BCF">
              <w:t>that embed</w:t>
            </w:r>
            <w:r w:rsidR="00B46666">
              <w:t xml:space="preserve"> and address climate-related risks </w:t>
            </w:r>
            <w:r w:rsidR="00367BCF">
              <w:t xml:space="preserve">within the </w:t>
            </w:r>
            <w:r w:rsidR="00B46666">
              <w:t xml:space="preserve">corporate governance and risk management </w:t>
            </w:r>
            <w:r w:rsidR="00367BCF">
              <w:t>frameworks of</w:t>
            </w:r>
            <w:r w:rsidR="00B46666">
              <w:t xml:space="preserve"> financial services entities in the UAE.  </w:t>
            </w:r>
          </w:p>
          <w:p w14:paraId="18257824" w14:textId="6A932078" w:rsidR="00093CA9" w:rsidRDefault="00367BCF" w:rsidP="00367BCF">
            <w:r w:rsidRPr="00367BCF">
              <w:t xml:space="preserve">The </w:t>
            </w:r>
            <w:r>
              <w:t>policy tool</w:t>
            </w:r>
            <w:r w:rsidRPr="00367BCF">
              <w:t xml:space="preserve"> require</w:t>
            </w:r>
            <w:r>
              <w:t>s</w:t>
            </w:r>
            <w:r w:rsidRPr="00367BCF">
              <w:t xml:space="preserve"> financial institutions to integrate climate-related risks into their risk management frameworks, including the application of stress testing and scenario analysis, and to demonstrate consideration of these risks within their capital adequacy processes, subject to supervisory review. Institutions are also expected to incorporate climate-related factors into their strategic and business planning, utilise scenario analysis to assess the impact of transition risks, and ensure robust board and senior management oversight of transition strategies. Furthermore, the Principles emphasise transparent disclosure of material climate-related risks and management approaches, recommend alignment with international frameworks such as the TCFD, and set clear supervisory expectations for the quality and frequency of disclosures.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2507519E" w:rsidR="00093CA9" w:rsidRDefault="000D2925" w:rsidP="00093CA9">
            <w:r>
              <w:t>X</w:t>
            </w:r>
          </w:p>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318A484B" w:rsidR="00093CA9" w:rsidRDefault="000D2925" w:rsidP="000D2925">
            <w:r w:rsidRPr="000D2925">
              <w:t>Although this policy tool is not ratified as primary legislation and therefore does not have the status of statutory law, it forms an integral part of the UAE Central Bank’s regulatory framework. As such, compliance is mandatory for all financial institutions regulated by the Central Bank.</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C9AFDE8" w:rsidR="00093CA9" w:rsidRPr="00173D7C" w:rsidRDefault="00F47A28" w:rsidP="00093CA9">
            <w:pPr>
              <w:rPr>
                <w:color w:val="000000" w:themeColor="text1"/>
              </w:rPr>
            </w:pPr>
            <w:r>
              <w:rPr>
                <w:color w:val="000000" w:themeColor="text1"/>
              </w:rPr>
              <w:t xml:space="preserve">Not specified. </w:t>
            </w:r>
            <w:r w:rsidR="00DE74FE">
              <w:rPr>
                <w:color w:val="000000" w:themeColor="text1"/>
              </w:rPr>
              <w:t>It can be assumed that it was published in November 2022 as this policy tool was part of the Second Public Statement.</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FE7ED96" w:rsidR="00093CA9" w:rsidRDefault="00DE74FE" w:rsidP="00093CA9">
            <w:r>
              <w:t>The Central Bank of the UAE.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F92592C" w:rsidR="00093CA9" w:rsidRPr="006B7B0D" w:rsidRDefault="00DE74FE"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BBA0582" w:rsidR="00CF5268" w:rsidRDefault="001D5464"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0A723102" w:rsidR="00CF5268" w:rsidRDefault="001D5464"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9CED8F7" w:rsidR="00CF5268" w:rsidRDefault="001D5464"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6F666141" w:rsidR="00CF5268" w:rsidRDefault="001D5464"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45ADFF89" w:rsidR="00CF5268" w:rsidRDefault="001D5464"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3F310D9A" w:rsidR="466E435B" w:rsidRDefault="001D5464"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7E396D3" w:rsidR="00CF5268" w:rsidRDefault="001D5464"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511DFA3D" w:rsidR="466E435B" w:rsidRDefault="001D5464"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0615CAFC" w:rsidR="466E435B" w:rsidRDefault="001D5464"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D18CA57" w:rsidR="466E435B" w:rsidRDefault="001D5464"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0B172634" w:rsidR="466E435B" w:rsidRDefault="001D5464"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2214E05" w:rsidR="00CF5268" w:rsidRDefault="001D5464"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2BAC0FA" w:rsidR="00CF5268" w:rsidRDefault="001D5464"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0D7B2F41" w:rsidR="004B2D74" w:rsidRDefault="001D5464"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49D08F67" w:rsidR="004B2D74" w:rsidRDefault="001D5464"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611A447F" w:rsidR="004B2D74" w:rsidRDefault="001D5464"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47C2B36C" w:rsidR="004B2D74" w:rsidRDefault="001D5464"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136A16AC" w:rsidR="004B2D74" w:rsidRDefault="001D5464"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67F46F31" w:rsidR="004B2D74" w:rsidRDefault="001D5464"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69354E0" w:rsidR="0039223F" w:rsidRDefault="001D5464" w:rsidP="00DD3144">
            <w:r>
              <w:t xml:space="preserve">The policy tool applies to all banks licensed and supervised by the Central Bank of the UAE including finance companies, exchange houses and insurance and re-insurance companies regulated by the Central Bank of the UAE. </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B188F"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5ED398E2" w:rsidR="00524D54" w:rsidRPr="003577A4" w:rsidRDefault="001D5464" w:rsidP="00DD3144">
            <w:r>
              <w:t xml:space="preserve">Yes, must be licensed/regulated by the Central Bank of the UAE. </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7A2001A" w:rsidR="00576ED8" w:rsidRDefault="001D5464"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0C42AE7B" w:rsidR="00911F20" w:rsidRDefault="00390901"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752C58FB" w:rsidR="00911F20" w:rsidRDefault="00390901" w:rsidP="00DD3144">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415E8D25" w:rsidR="00911F20" w:rsidRDefault="00390901"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189F339F"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485C7131" w14:textId="1622B815" w:rsidR="00390901" w:rsidRPr="00390901" w:rsidRDefault="00390901" w:rsidP="00390901">
            <w:r w:rsidRPr="00390901">
              <w:rPr>
                <w:b/>
                <w:bCs/>
              </w:rPr>
              <w:t>Monetary Fines:</w:t>
            </w:r>
            <w:r w:rsidRPr="00390901">
              <w:br/>
              <w:t>The Central Bank of the UAE may impose monetary fines on financial institutions that fail to comply with regulatory requirements, including those related to climate-related risk management. The amount of the fine is determined by the severity and duration of the breach and may increase for repeated or systemic non-compliance. Fines are intended to serve as a deterrent and to encourage prompt remediation of deficiencies.</w:t>
            </w:r>
          </w:p>
          <w:p w14:paraId="1D6F4157" w14:textId="76E4671C" w:rsidR="00390901" w:rsidRPr="00390901" w:rsidRDefault="00390901" w:rsidP="00390901">
            <w:r w:rsidRPr="00390901">
              <w:rPr>
                <w:b/>
                <w:bCs/>
              </w:rPr>
              <w:t>Restrictions on Business Activities:</w:t>
            </w:r>
            <w:r w:rsidRPr="00390901">
              <w:br/>
              <w:t>The Central Bank of the UAE can restrict or suspend certain business activities of non-compliant institutions. This may involve limiting the institution’s ability to offer specific products or services, restricting expansion into new markets, or requiring additional approvals for certain transactions. Such measures are designed to mitigate risks to the financial system and ensure that deficiencies are addressed before normal business operations can resume.</w:t>
            </w:r>
          </w:p>
          <w:p w14:paraId="6F3E1EAF" w14:textId="77777777" w:rsidR="009C4798" w:rsidRDefault="00390901" w:rsidP="00390901">
            <w:r w:rsidRPr="00390901">
              <w:rPr>
                <w:b/>
                <w:bCs/>
              </w:rPr>
              <w:t>Penalties for Senior Managers:</w:t>
            </w:r>
            <w:r w:rsidRPr="00390901">
              <w:br/>
              <w:t>Senior managers and board members may be held personally accountable for failures in governance or risk management. The Central Bank of the UAE may issue formal warnings, disqualify individuals from holding senior roles or remove them from office. In serious cases, personal financial penalties may also be imposed. These actions aim to reinforce the importance of effective oversight and personal responsibility at the leadership level.</w:t>
            </w:r>
          </w:p>
          <w:p w14:paraId="5FB513A8" w14:textId="77777777" w:rsidR="00390901" w:rsidRDefault="00390901" w:rsidP="00390901"/>
          <w:p w14:paraId="6475235A" w14:textId="3F153F64" w:rsidR="00390901" w:rsidRDefault="00390901" w:rsidP="00390901">
            <w:r w:rsidRPr="00390901">
              <w:t>Any additional sanctions would be at the discretion of the Central Bank under its supervisory authority.</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52B314F8" w:rsidR="00CB1649" w:rsidRPr="00FA0CF8" w:rsidRDefault="00757A55"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943140A" w:rsidR="008063B5" w:rsidRDefault="00757A55"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03EFA37A" w:rsidR="00042406" w:rsidRDefault="00757A55"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1B5F2A42" w:rsidR="00042406" w:rsidRDefault="00757A55"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2CE4DC87" w:rsidR="00042406" w:rsidRDefault="00757A55"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62ECE382" w:rsidR="00042406" w:rsidRDefault="00757A55"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34E0E278" w:rsidR="00042406" w:rsidRDefault="00757A55"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325CF32E" w:rsidR="00042406" w:rsidRDefault="00757A55"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32EA0088" w:rsidR="00042406" w:rsidRDefault="00757A55"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5E5E418E" w:rsidR="00B0479E" w:rsidRPr="00F75058" w:rsidRDefault="00757A55"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6105DB45" w:rsidR="00B0479E" w:rsidRPr="00F75058" w:rsidRDefault="00757A55"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38B9DB7B" w:rsidR="00B0479E" w:rsidRPr="00F75058" w:rsidRDefault="00757A55"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4D25C95C" w:rsidR="00B0479E" w:rsidRPr="00F75058" w:rsidRDefault="00757A55" w:rsidP="00DD3144">
            <w:pPr>
              <w:rPr>
                <w:rFonts w:ascii="Calibri" w:hAnsi="Calibri" w:cs="Calibri"/>
              </w:rPr>
            </w:pPr>
            <w:r>
              <w:rPr>
                <w:rFonts w:ascii="Calibri" w:hAnsi="Calibri" w:cs="Calibri"/>
              </w:rPr>
              <w:t>X</w:t>
            </w: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DAAB9CB" w:rsidR="00B0479E" w:rsidRPr="00F75058" w:rsidRDefault="00757A55" w:rsidP="00DD3144">
            <w:pPr>
              <w:rPr>
                <w:rFonts w:ascii="Calibri" w:hAnsi="Calibri" w:cs="Calibri"/>
              </w:rPr>
            </w:pPr>
            <w:r>
              <w:rPr>
                <w:rFonts w:ascii="Calibri" w:hAnsi="Calibri" w:cs="Calibri"/>
              </w:rPr>
              <w:t>X</w:t>
            </w: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59A685C0" w:rsidR="00B0479E" w:rsidRPr="00F75058" w:rsidRDefault="00757A55" w:rsidP="00DD3144">
            <w:pPr>
              <w:rPr>
                <w:rFonts w:ascii="Calibri" w:hAnsi="Calibri" w:cs="Calibri"/>
              </w:rPr>
            </w:pPr>
            <w:r>
              <w:rPr>
                <w:rFonts w:ascii="Calibri" w:hAnsi="Calibri" w:cs="Calibri"/>
              </w:rPr>
              <w:t>X</w:t>
            </w: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6465EAE4" w:rsidR="00B0479E" w:rsidRPr="00F75058" w:rsidRDefault="00757A55"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34F12C5B" w:rsidR="00B0479E" w:rsidRPr="00F75058" w:rsidRDefault="00757A55"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21FF3D70" w:rsidR="00B0479E" w:rsidRDefault="00757A55"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7A643071" w:rsidR="00B0479E" w:rsidRDefault="00757A55" w:rsidP="00DD3144">
            <w:pPr>
              <w:rPr>
                <w:rFonts w:ascii="Calibri" w:hAnsi="Calibri" w:cs="Calibri"/>
              </w:rPr>
            </w:pPr>
            <w:r>
              <w:rPr>
                <w:rFonts w:ascii="Calibri" w:hAnsi="Calibri" w:cs="Calibri"/>
              </w:rPr>
              <w:t>X</w:t>
            </w: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E6FB954" w:rsidR="00B0479E" w:rsidRDefault="00C57D97"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12B6DEA" w:rsidR="00B0479E" w:rsidRDefault="002A4D50"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6A2465B9" w:rsidR="00B0479E" w:rsidRDefault="002A4D50"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115F617F" w:rsidR="00B0479E" w:rsidRDefault="002A4D50"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1EA5AE5B" w:rsidR="00B0479E" w:rsidRDefault="002A4D50"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51E9440" w:rsidR="00B0479E" w:rsidRDefault="002A4D50"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12A4820" w:rsidR="00B0479E" w:rsidRDefault="002A4D50"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1E1DA42E" w:rsidR="00B0479E" w:rsidRDefault="002A4D50"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72304728" w:rsidR="00B0479E" w:rsidRDefault="002A4D50"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126D08D" w:rsidR="00B0479E" w:rsidRDefault="002A4D50"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91B975B" w:rsidR="00B0479E" w:rsidRDefault="002A4D50"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lastRenderedPageBreak/>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28A2147" w:rsidR="00B0479E" w:rsidRDefault="002A4D50"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082B6282" w:rsidR="00B0479E" w:rsidRDefault="002A4D50"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9C3E558" w:rsidR="00B0479E" w:rsidRDefault="002A4D50" w:rsidP="00DD3144">
            <w:r>
              <w:t>X</w:t>
            </w:r>
          </w:p>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1EA013B" w:rsidR="00B0479E" w:rsidRDefault="002A4D50"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304DEF84"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151C6698"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7D9893A1" w:rsidR="00B0479E" w:rsidRDefault="002A4D50"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979E886" w:rsidR="00B0479E" w:rsidRDefault="00176392"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64DA2BCD" w:rsidR="00B0479E" w:rsidRDefault="00176392"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lastRenderedPageBreak/>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7766587" w:rsidR="00B0479E" w:rsidRDefault="00676C9F"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01AA9CE" w:rsidR="00B0479E" w:rsidRDefault="00676C9F"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64CA59EC" w:rsidR="00B0479E" w:rsidRDefault="00676C9F"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6FD67998" w:rsidR="00B0479E" w:rsidRDefault="00B95CA8" w:rsidP="00DD3144">
            <w:r>
              <w:t xml:space="preserve">This could include any goals or objectives relevant to managing climate-related risks or supporting the transition to a low carbon economy which may include targets for energy efficiency, renewable energy use or climate adaptation.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lastRenderedPageBreak/>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4308104B" w:rsidR="00EC42A1" w:rsidRDefault="00B95CA8"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4B38FA60" w:rsidR="00EC42A1" w:rsidRDefault="00B95CA8"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C0B52E1" w:rsidR="00EC42A1" w:rsidRDefault="0078076D"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29772D46" w:rsidR="00EC42A1" w:rsidRDefault="0078076D"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C109E5C" w:rsidR="00EC42A1" w:rsidRDefault="0078076D"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2D12E361" w:rsidR="00484663" w:rsidRDefault="0078076D"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0E7A178E" w:rsidR="00484663" w:rsidRDefault="0078076D"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8A9D847" w:rsidR="00484663" w:rsidRDefault="0078076D"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0E11DDC" w:rsidR="00DA416F" w:rsidRPr="00DD3144" w:rsidRDefault="0078076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74341F5" w:rsidR="00DA416F" w:rsidRPr="00DD3144" w:rsidRDefault="0078076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4A464752" w:rsidR="00DA416F" w:rsidRPr="00DD3144" w:rsidRDefault="0078076D"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52AE8A3" w:rsidR="00DA416F" w:rsidRPr="00DD3144" w:rsidRDefault="0078076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5A2B7281" w:rsidR="00DA416F" w:rsidRPr="00DD3144" w:rsidRDefault="0078076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4FD4AF08" w:rsidR="00DA416F" w:rsidRPr="00DD3144" w:rsidRDefault="0078076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D4B9C86" w:rsidR="00DA416F" w:rsidRPr="00DD3144" w:rsidRDefault="0078076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8C0999F" w:rsidR="00DA416F" w:rsidRPr="00DD3144" w:rsidRDefault="0078076D"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1FD2338B" w:rsidR="00DA416F" w:rsidRPr="00DD3144" w:rsidRDefault="0078076D"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5E10199C" w:rsidR="00DA416F" w:rsidRPr="00DD3144" w:rsidRDefault="0078076D"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AB365C4" w:rsidR="00DA416F" w:rsidRPr="00DD3144" w:rsidRDefault="0078076D"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F53DFDA" w:rsidR="00DA416F" w:rsidRPr="00DD3144" w:rsidRDefault="0078076D"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FBF8B42" w:rsidR="00DA416F" w:rsidRPr="00DD3144" w:rsidRDefault="0078076D"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424E2D61" w:rsidR="00DA416F" w:rsidRPr="00DD3144" w:rsidRDefault="0078076D"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486BD5DE" w:rsidR="00C4670C" w:rsidRPr="00C37D48" w:rsidRDefault="000100E9"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336CFFAB" w:rsidR="00C4670C" w:rsidRPr="00C37D48" w:rsidRDefault="000100E9"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6BF873CC" w:rsidR="00C4670C" w:rsidRPr="00C37D48" w:rsidRDefault="000100E9"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57F4442" w:rsidR="00C4670C" w:rsidRPr="00C37D48" w:rsidRDefault="000100E9"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6E6A6839" w:rsidR="00C4670C" w:rsidRPr="00C37D48" w:rsidRDefault="000100E9"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032D4128" w:rsidR="00C4670C" w:rsidRPr="00C37D48" w:rsidRDefault="000100E9"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A29451D" w:rsidR="00C4670C" w:rsidRPr="00C37D48" w:rsidRDefault="000100E9"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1C4D6279" w:rsidR="00C4670C" w:rsidRPr="00C37D48" w:rsidRDefault="000100E9"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5FC78CF4" w:rsidR="00C4670C" w:rsidRPr="00C37D48" w:rsidRDefault="000100E9"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0577540C" w:rsidR="00C4670C" w:rsidRPr="00C37D48" w:rsidRDefault="000100E9"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4DDFF6F2" w:rsidR="00C4670C" w:rsidRPr="00C37D48" w:rsidRDefault="000100E9"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41190A9" w:rsidR="00C4670C" w:rsidRPr="00C37D48" w:rsidRDefault="000100E9"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5771D6F1" w:rsidR="00C4670C" w:rsidRPr="00C37D48" w:rsidRDefault="000100E9"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58A89BE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454FB637" w:rsidR="004F276F" w:rsidRPr="00C37D48" w:rsidRDefault="000100E9" w:rsidP="00C37D48">
            <w:pPr>
              <w:rPr>
                <w:rFonts w:ascii="Calibri" w:hAnsi="Calibri" w:cs="Calibri"/>
              </w:rPr>
            </w:pPr>
            <w:r>
              <w:rPr>
                <w:rFonts w:ascii="Calibri" w:hAnsi="Calibri" w:cs="Calibri"/>
              </w:rPr>
              <w:t>X</w:t>
            </w: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1E0E2D94" w:rsidR="004F276F" w:rsidRPr="00C37D48" w:rsidRDefault="000100E9" w:rsidP="00C37D48">
            <w:pPr>
              <w:rPr>
                <w:rFonts w:ascii="Calibri" w:hAnsi="Calibri" w:cs="Calibri"/>
              </w:rPr>
            </w:pPr>
            <w:r>
              <w:rPr>
                <w:rFonts w:ascii="Calibri" w:hAnsi="Calibri" w:cs="Calibri"/>
              </w:rPr>
              <w:t>X</w:t>
            </w: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20F75930" w:rsidR="004F276F" w:rsidRPr="00C37D48" w:rsidRDefault="000100E9" w:rsidP="00C37D48">
            <w:pPr>
              <w:rPr>
                <w:rFonts w:ascii="Calibri" w:hAnsi="Calibri" w:cs="Calibri"/>
              </w:rPr>
            </w:pPr>
            <w:r>
              <w:rPr>
                <w:rFonts w:ascii="Calibri" w:hAnsi="Calibri" w:cs="Calibri"/>
              </w:rPr>
              <w:t>X</w:t>
            </w: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448C957C" w:rsidR="004F276F" w:rsidRPr="00C37D48" w:rsidRDefault="00EC1760"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604F9774" w:rsidR="004F276F" w:rsidRPr="00C37D48" w:rsidRDefault="00EC1760"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68721C13" w:rsidR="004F276F" w:rsidRPr="00C37D48" w:rsidRDefault="00EC1760"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2E5D155C" w:rsidR="004F276F" w:rsidRPr="00C37D48" w:rsidRDefault="00DD2B1F" w:rsidP="00C37D48">
            <w:pPr>
              <w:rPr>
                <w:rFonts w:ascii="Calibri" w:hAnsi="Calibri" w:cs="Calibri"/>
              </w:rPr>
            </w:pPr>
            <w:r>
              <w:t>The policy tool applies to all banks licensed and supervised by the Central Bank of the UAE including finance companies, exchange houses and insurance and re-insurance companies regulated by the Central Bank of the UAE.</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B188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3A730B69" w:rsidR="004F276F" w:rsidRPr="00C37D48" w:rsidRDefault="00C0492F" w:rsidP="00C37D48">
            <w:pPr>
              <w:rPr>
                <w:rFonts w:ascii="Calibri" w:hAnsi="Calibri" w:cs="Calibri"/>
              </w:rPr>
            </w:pPr>
            <w:r>
              <w:t>Yes, must be licensed/regulated by the Central Bank of the UAE.</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4623DA9" w:rsidR="004F276F" w:rsidRPr="00C37D48" w:rsidRDefault="00C0492F"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E47E78" w:rsidR="004F276F" w:rsidRPr="00C37D48" w:rsidRDefault="00C0492F"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13D4A806" w:rsidR="004F276F" w:rsidRPr="00C37D48" w:rsidRDefault="00C0492F" w:rsidP="00C37D48">
            <w:pPr>
              <w:rPr>
                <w:rFonts w:ascii="Calibri" w:hAnsi="Calibri" w:cs="Calibri"/>
              </w:rPr>
            </w:pPr>
            <w:r>
              <w:rPr>
                <w:rFonts w:ascii="Calibri" w:hAnsi="Calibri" w:cs="Calibri"/>
              </w:rP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603EAD58" w:rsidR="004F276F" w:rsidRPr="00C37D48" w:rsidRDefault="00C0492F" w:rsidP="00C37D48">
            <w:pPr>
              <w:rPr>
                <w:rFonts w:ascii="Calibri" w:hAnsi="Calibri" w:cs="Calibri"/>
              </w:rPr>
            </w:pPr>
            <w:r>
              <w:rPr>
                <w:rFonts w:ascii="Calibri" w:hAnsi="Calibri" w:cs="Calibri"/>
              </w:rP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E8C2312"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31D8378B" w14:textId="77777777" w:rsidR="00C0492F" w:rsidRPr="00390901" w:rsidRDefault="00C0492F" w:rsidP="00C0492F">
            <w:r w:rsidRPr="00390901">
              <w:rPr>
                <w:b/>
                <w:bCs/>
              </w:rPr>
              <w:t>Monetary Fines:</w:t>
            </w:r>
            <w:r w:rsidRPr="00390901">
              <w:br/>
              <w:t>The Central Bank of the UAE may impose monetary fines on financial institutions that fail to comply with regulatory requirements, including those related to climate-related risk management. The amount of the fine is determined by the severity and duration of the breach and may increase for repeated or systemic non-compliance. Fines are intended to serve as a deterrent and to encourage prompt remediation of deficiencies.</w:t>
            </w:r>
          </w:p>
          <w:p w14:paraId="4ED79DDF" w14:textId="77777777" w:rsidR="00C0492F" w:rsidRPr="00390901" w:rsidRDefault="00C0492F" w:rsidP="00C0492F">
            <w:r w:rsidRPr="00390901">
              <w:rPr>
                <w:b/>
                <w:bCs/>
              </w:rPr>
              <w:t>Restrictions on Business Activities:</w:t>
            </w:r>
            <w:r w:rsidRPr="00390901">
              <w:br/>
              <w:t>The Central Bank of the UAE can restrict or suspend certain business activities of non-compliant institutions. This may involve limiting the institution’s ability to offer specific products or services, restricting expansion into new markets, or requiring additional approvals for certain transactions. Such measures are designed to mitigate risks to the financial system and ensure that deficiencies are addressed before normal business operations can resume.</w:t>
            </w:r>
          </w:p>
          <w:p w14:paraId="40D04DB3" w14:textId="77777777" w:rsidR="00C0492F" w:rsidRDefault="00C0492F" w:rsidP="00C0492F">
            <w:r w:rsidRPr="00390901">
              <w:rPr>
                <w:b/>
                <w:bCs/>
              </w:rPr>
              <w:t>Penalties for Senior Managers:</w:t>
            </w:r>
            <w:r w:rsidRPr="00390901">
              <w:br/>
              <w:t>Senior managers and board members may be held personally accountable for failures in governance or risk management. The Central Bank of the UAE may issue formal warnings, disqualify individuals from holding senior roles or remove them from office. In serious cases, personal financial penalties may also be imposed. These actions aim to reinforce the importance of effective oversight and personal responsibility at the leadership level.</w:t>
            </w:r>
          </w:p>
          <w:p w14:paraId="1241B621" w14:textId="77777777" w:rsidR="00C0492F" w:rsidRDefault="00C0492F" w:rsidP="00C0492F"/>
          <w:p w14:paraId="643668F7" w14:textId="7DF4CB41" w:rsidR="00711F61" w:rsidRPr="00C37D48" w:rsidRDefault="00C0492F" w:rsidP="00C0492F">
            <w:pPr>
              <w:rPr>
                <w:rFonts w:ascii="Calibri" w:hAnsi="Calibri" w:cs="Calibri"/>
              </w:rPr>
            </w:pPr>
            <w:r w:rsidRPr="00390901">
              <w:t>Any additional sanctions would be at the discretion of the Central Bank under its supervisory authority.</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3FF2D0E2" w:rsidR="001F30DE" w:rsidRPr="00C37D48" w:rsidRDefault="00C0492F"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61445799" w:rsidR="001F30DE" w:rsidRPr="00C37D48" w:rsidRDefault="00C0492F"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3605CCEB" w:rsidR="004F48E8" w:rsidRPr="00C37D48" w:rsidRDefault="00C0492F"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3A9660A1"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17931157" w:rsidR="000A1365" w:rsidRPr="00C37D48" w:rsidRDefault="00C0492F"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lastRenderedPageBreak/>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BD5D48B" w:rsidR="00850F36" w:rsidRPr="00C37D48" w:rsidRDefault="00352F19"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754787EC" w:rsidR="00850F36" w:rsidRPr="00C37D48" w:rsidRDefault="00352F19"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5436681D" w:rsidR="00850F36" w:rsidRPr="00C37D48" w:rsidRDefault="00352F19"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4644F248" w:rsidR="00850F36" w:rsidRPr="00C37D48" w:rsidRDefault="00352F19"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E0F9483" w:rsidR="00850F36" w:rsidRPr="00C37D48" w:rsidRDefault="00352F19"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16C1560F" w:rsidR="00850F36" w:rsidRPr="00C37D48" w:rsidRDefault="00352F19"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120F4994" w:rsidR="00850F36" w:rsidRPr="00C37D48" w:rsidRDefault="00352F1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6F867B38" w:rsidR="00850F36" w:rsidRPr="00C37D48" w:rsidRDefault="00352F19"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153205FD" w:rsidR="00850F36" w:rsidRPr="00C37D48" w:rsidRDefault="00352F1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B1C6B17" w:rsidR="00850F36" w:rsidRPr="00C37D48" w:rsidRDefault="00352F19"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4C452354" w:rsidR="00850F36" w:rsidRPr="00C37D48" w:rsidRDefault="00352F1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13691C6B" w:rsidR="00850F36" w:rsidRPr="00C37D48" w:rsidRDefault="00352F19"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273F29D" w:rsidR="00850F36" w:rsidRPr="00C37D48" w:rsidRDefault="00352F19"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30755AC6"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CDD7E80" w:rsidR="000A1365" w:rsidRPr="00C37D48" w:rsidRDefault="00352F19"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384AECE9" w:rsidR="00C81DE5" w:rsidRPr="00C37D48" w:rsidRDefault="00352F19"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2D6F7C84" w:rsidR="000A1365" w:rsidRPr="00C37D48" w:rsidRDefault="00352F19"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5D230346" w:rsidR="000A1365" w:rsidRPr="00C37D48" w:rsidRDefault="00352F19"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23418161" w:rsidR="000A1365" w:rsidRPr="00C37D48" w:rsidRDefault="00352F19"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39739F20" w:rsidR="000A1365" w:rsidRPr="00C37D48" w:rsidRDefault="00352F19"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0C7D2EA8"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493B8C2B" w:rsidR="00D9431B" w:rsidRPr="00C37D48" w:rsidRDefault="00352F19"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F31D943"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1668BC7B" w:rsidR="00890032" w:rsidRPr="00C37D48" w:rsidRDefault="002B44BA"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w:t>
            </w:r>
            <w:r w:rsidRPr="00C37D48">
              <w:rPr>
                <w:rFonts w:ascii="Calibri" w:hAnsi="Calibri" w:cs="Calibri"/>
              </w:rPr>
              <w:lastRenderedPageBreak/>
              <w:t>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lastRenderedPageBreak/>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C09A324" w:rsidR="00B610C2" w:rsidRPr="00610F28" w:rsidRDefault="002B44B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8C4752B" w:rsidR="00B610C2" w:rsidRPr="00610F28" w:rsidRDefault="002B44B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13CFCB57" w:rsidR="00B610C2" w:rsidRPr="00610F28" w:rsidRDefault="002B44BA" w:rsidP="00610F28">
            <w:pPr>
              <w:rPr>
                <w:rFonts w:ascii="Calibri" w:hAnsi="Calibri" w:cs="Calibri"/>
              </w:rPr>
            </w:pPr>
            <w:r>
              <w:rPr>
                <w:rFonts w:ascii="Calibri" w:hAnsi="Calibri" w:cs="Calibri"/>
              </w:rP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5B87E7B" w:rsidR="00B610C2" w:rsidRPr="00610F28" w:rsidRDefault="002B44BA"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31D8FF2A" w:rsidR="00B610C2" w:rsidRPr="00610F28" w:rsidRDefault="002B44BA"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6CC1B6DC" w:rsidR="00B610C2" w:rsidRPr="00610F28" w:rsidRDefault="002B44BA"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E91167F" w:rsidR="00B610C2" w:rsidRPr="00610F28" w:rsidRDefault="002B44BA"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F18FAA6" w:rsidR="00B610C2" w:rsidRPr="00610F28" w:rsidRDefault="002B44BA"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C549D73" w:rsidR="00B610C2" w:rsidRPr="00610F28" w:rsidRDefault="002B44BA"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55293B63" w:rsidR="00B610C2" w:rsidRPr="00610F28" w:rsidRDefault="002B44BA"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9D8337C" w:rsidR="00B610C2" w:rsidRPr="00610F28" w:rsidRDefault="002B44BA"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B188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B188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24D7C14A" w:rsidR="00D4323A" w:rsidRPr="00CF2E7C" w:rsidRDefault="0053365A"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041F063C" w:rsidR="00D4323A" w:rsidRPr="00CF2E7C" w:rsidRDefault="0053365A"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53ED0D0" w:rsidR="00D4323A" w:rsidRPr="00CF2E7C" w:rsidRDefault="0053365A"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45DD8B10" w:rsidR="00D4323A" w:rsidRPr="00CF2E7C" w:rsidRDefault="0053365A"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F2CB3EF" w:rsidR="00D4323A" w:rsidRPr="00CF2E7C" w:rsidRDefault="0053365A"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50FFD0D5" w:rsidR="00D4323A" w:rsidRPr="00CF2E7C" w:rsidRDefault="0053365A"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0FB62A2" w:rsidR="00D4323A" w:rsidRPr="00CF2E7C" w:rsidRDefault="0053365A"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47039FDE" w:rsidR="00D4323A" w:rsidRPr="00CF2E7C" w:rsidRDefault="0053365A"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118D845" w:rsidR="00D4323A" w:rsidRPr="00CF2E7C" w:rsidRDefault="0053365A"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612DC574" w:rsidR="00D4323A" w:rsidRPr="00CF2E7C" w:rsidRDefault="0053365A"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3FCCCAE" w:rsidR="00D4323A" w:rsidRPr="00CF2E7C" w:rsidRDefault="0053365A"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04450B60" w:rsidR="00D4323A" w:rsidRPr="00CF2E7C" w:rsidRDefault="0053365A"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67D22562" w:rsidR="00D4323A" w:rsidRPr="00CF2E7C" w:rsidRDefault="0053365A"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4CE37141" w:rsidR="00DD292A" w:rsidRPr="00CF2E7C" w:rsidRDefault="00DD2B1F"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4C7CA49A" w:rsidR="00DD292A" w:rsidRPr="00CF2E7C" w:rsidRDefault="00DD2B1F"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64C3878D" w:rsidR="00DD292A" w:rsidRPr="00CF2E7C" w:rsidRDefault="00DD2B1F" w:rsidP="00CF2E7C">
            <w:pPr>
              <w:rPr>
                <w:rFonts w:ascii="Calibri" w:hAnsi="Calibri" w:cs="Calibri"/>
              </w:rPr>
            </w:pPr>
            <w:r>
              <w:rPr>
                <w:rFonts w:ascii="Calibri" w:hAnsi="Calibri" w:cs="Calibri"/>
              </w:rPr>
              <w:t>X</w:t>
            </w: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C3423BC" w:rsidR="00DD292A" w:rsidRPr="00CF2E7C" w:rsidRDefault="00DD2B1F"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74BB246" w:rsidR="00DD292A" w:rsidRPr="00CF2E7C" w:rsidRDefault="00DD2B1F"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6E02EC23" w:rsidR="00DD292A" w:rsidRPr="00CF2E7C" w:rsidRDefault="00DD2B1F"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6F7479FA" w:rsidR="00DD292A" w:rsidRPr="00CF2E7C" w:rsidRDefault="00DD2B1F" w:rsidP="00CF2E7C">
            <w:pPr>
              <w:rPr>
                <w:rFonts w:ascii="Calibri" w:hAnsi="Calibri" w:cs="Calibri"/>
              </w:rPr>
            </w:pPr>
            <w:r>
              <w:t>The policy tool applies to all banks licensed and supervised by the Central Bank of the UAE including finance companies, exchange houses and insurance and re-insurance companies regulated by the Central Bank of the UAE.</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B188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1E9AD9F2" w:rsidR="00DD292A" w:rsidRPr="00CF2E7C" w:rsidRDefault="00DD2B1F" w:rsidP="00CF2E7C">
            <w:pPr>
              <w:rPr>
                <w:rFonts w:ascii="Calibri" w:hAnsi="Calibri" w:cs="Calibri"/>
              </w:rPr>
            </w:pPr>
            <w:r>
              <w:t>Yes, must be licensed/regulated by the Central Bank of the UAE.</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2761203A" w:rsidR="00DD292A" w:rsidRPr="00CF2E7C" w:rsidRDefault="00DD2B1F"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541E20F1" w:rsidR="00DD3B33" w:rsidRPr="00CF2E7C" w:rsidRDefault="00DD2B1F" w:rsidP="00CF2E7C">
            <w:pPr>
              <w:rPr>
                <w:rFonts w:ascii="Calibri" w:hAnsi="Calibri" w:cs="Calibri"/>
              </w:rPr>
            </w:pPr>
            <w:r>
              <w:rPr>
                <w:rFonts w:ascii="Calibri" w:hAnsi="Calibri" w:cs="Calibri"/>
              </w:rPr>
              <w:t>X</w:t>
            </w: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22E2AF85" w:rsidR="00DD3B33" w:rsidRPr="00CF2E7C" w:rsidRDefault="00DD2B1F" w:rsidP="00CF2E7C">
            <w:pPr>
              <w:rPr>
                <w:rFonts w:ascii="Calibri" w:hAnsi="Calibri" w:cs="Calibri"/>
              </w:rPr>
            </w:pPr>
            <w:r>
              <w:rPr>
                <w:rFonts w:ascii="Calibri" w:hAnsi="Calibri" w:cs="Calibri"/>
              </w:rPr>
              <w:t>X</w:t>
            </w: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6D743F5B" w:rsidR="00DD3B33" w:rsidRPr="00CF2E7C" w:rsidRDefault="00DD2B1F" w:rsidP="00CF2E7C">
            <w:pPr>
              <w:rPr>
                <w:rFonts w:ascii="Calibri" w:hAnsi="Calibri" w:cs="Calibri"/>
              </w:rPr>
            </w:pPr>
            <w:r>
              <w:rPr>
                <w:rFonts w:ascii="Calibri" w:hAnsi="Calibri" w:cs="Calibri"/>
              </w:rPr>
              <w:t>X</w:t>
            </w: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4968EC3"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4A57F408" w14:textId="77777777" w:rsidR="007D3A4C" w:rsidRPr="00390901" w:rsidRDefault="007D3A4C" w:rsidP="007D3A4C">
            <w:r w:rsidRPr="00390901">
              <w:rPr>
                <w:b/>
                <w:bCs/>
              </w:rPr>
              <w:t>Monetary Fines:</w:t>
            </w:r>
            <w:r w:rsidRPr="00390901">
              <w:br/>
              <w:t>The Central Bank of the UAE may impose monetary fines on financial institutions that fail to comply with regulatory requirements, including those related to climate-related risk management. The amount of the fine is determined by the severity and duration of the breach and may increase for repeated or systemic non-compliance. Fines are intended to serve as a deterrent and to encourage prompt remediation of deficiencies.</w:t>
            </w:r>
          </w:p>
          <w:p w14:paraId="2B39BC96" w14:textId="77777777" w:rsidR="007D3A4C" w:rsidRPr="00390901" w:rsidRDefault="007D3A4C" w:rsidP="007D3A4C">
            <w:r w:rsidRPr="00390901">
              <w:rPr>
                <w:b/>
                <w:bCs/>
              </w:rPr>
              <w:t>Restrictions on Business Activities:</w:t>
            </w:r>
            <w:r w:rsidRPr="00390901">
              <w:br/>
              <w:t>The Central Bank of the UAE can restrict or suspend certain business activities of non-compliant institutions. This may involve limiting the institution’s ability to offer specific products or services, restricting expansion into new markets, or requiring additional approvals for certain transactions. Such measures are designed to mitigate risks to the financial system and ensure that deficiencies are addressed before normal business operations can resume.</w:t>
            </w:r>
          </w:p>
          <w:p w14:paraId="61048CA0" w14:textId="77777777" w:rsidR="007D3A4C" w:rsidRDefault="007D3A4C" w:rsidP="007D3A4C">
            <w:r w:rsidRPr="00390901">
              <w:rPr>
                <w:b/>
                <w:bCs/>
              </w:rPr>
              <w:t>Penalties for Senior Managers:</w:t>
            </w:r>
            <w:r w:rsidRPr="00390901">
              <w:br/>
              <w:t>Senior managers and board members may be held personally accountable for failures in governance or risk management. The Central Bank of the UAE may issue formal warnings, disqualify individuals from holding senior roles or remove them from office. In serious cases, personal financial penalties may also be imposed. These actions aim to reinforce the importance of effective oversight and personal responsibility at the leadership level.</w:t>
            </w:r>
          </w:p>
          <w:p w14:paraId="0693B091" w14:textId="77777777" w:rsidR="007D3A4C" w:rsidRDefault="007D3A4C" w:rsidP="007D3A4C"/>
          <w:p w14:paraId="6BF4AF82" w14:textId="6AE9675E" w:rsidR="00DD3B33" w:rsidRPr="00CF2E7C" w:rsidRDefault="007D3A4C" w:rsidP="007D3A4C">
            <w:pPr>
              <w:rPr>
                <w:rFonts w:ascii="Calibri" w:hAnsi="Calibri" w:cs="Calibri"/>
              </w:rPr>
            </w:pPr>
            <w:r w:rsidRPr="00390901">
              <w:t>Any additional sanctions would be at the discretion of the Central Bank under its supervisory authority.</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2D4CA92" w:rsidR="00DD292A" w:rsidRPr="00CF2E7C" w:rsidRDefault="00E32992"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86BF4DE" w:rsidR="00DD292A" w:rsidRPr="00CF2E7C" w:rsidRDefault="00E32992"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7F853749" w:rsidR="00410853" w:rsidRPr="00CF2E7C" w:rsidRDefault="00E329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34A6E74D" w:rsidR="00410853" w:rsidRPr="00CF2E7C" w:rsidRDefault="00E329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2045183" w:rsidR="00410853" w:rsidRPr="00CF2E7C" w:rsidRDefault="00E3299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4DC133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7D7B362"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0299293C" w:rsidR="00F632FB"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8CF991F" w:rsidR="00F632FB"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F320830" w:rsidR="00F632FB"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1D7106AF" w:rsidR="00F632FB"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ED4D1C5" w:rsidR="008C4722"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5805C24" w:rsidR="008C4722"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485BA84B" w:rsidR="008C4722" w:rsidRPr="00CF2E7C" w:rsidRDefault="00F97A9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5BB1C43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62C010" w14:textId="31CEEF64" w:rsidR="005973CF" w:rsidRDefault="005973CF" w:rsidP="005973CF">
            <w:pPr>
              <w:textAlignment w:val="baseline"/>
              <w:rPr>
                <w:rFonts w:ascii="Calibri" w:eastAsia="Times New Roman" w:hAnsi="Calibri" w:cs="Calibri"/>
                <w:kern w:val="0"/>
                <w:lang w:eastAsia="en-GB"/>
                <w14:ligatures w14:val="none"/>
              </w:rPr>
            </w:pPr>
            <w:r w:rsidRPr="005973CF">
              <w:rPr>
                <w:rFonts w:ascii="Calibri" w:eastAsia="Times New Roman" w:hAnsi="Calibri" w:cs="Calibri"/>
                <w:b/>
                <w:bCs/>
                <w:kern w:val="0"/>
                <w:lang w:eastAsia="en-GB"/>
                <w14:ligatures w14:val="none"/>
              </w:rPr>
              <w:t>Risk Identification and assessment:</w:t>
            </w:r>
            <w:r>
              <w:rPr>
                <w:rFonts w:ascii="Calibri" w:eastAsia="Times New Roman" w:hAnsi="Calibri" w:cs="Calibri"/>
                <w:kern w:val="0"/>
                <w:lang w:eastAsia="en-GB"/>
                <w14:ligatures w14:val="none"/>
              </w:rPr>
              <w:t xml:space="preserve"> </w:t>
            </w:r>
            <w:r w:rsidRPr="005973CF">
              <w:rPr>
                <w:rFonts w:ascii="Calibri" w:eastAsia="Times New Roman" w:hAnsi="Calibri" w:cs="Calibri"/>
                <w:kern w:val="0"/>
                <w:lang w:eastAsia="en-GB"/>
                <w14:ligatures w14:val="none"/>
              </w:rPr>
              <w:t>The policy requires that “climate-related financial risks affecting financial firms should be identified. Identification of these risks should involve a comprehensive assessment of how the risks posed by climate-related matters may affect the financial firm, which should include an assessment of climate-related financial risks across a range of plausible scenarios and under various time horizons.”</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Section D, Principle</w:t>
            </w:r>
            <w:r>
              <w:rPr>
                <w:rFonts w:ascii="Calibri" w:eastAsia="Times New Roman" w:hAnsi="Calibri" w:cs="Calibri"/>
                <w:kern w:val="0"/>
                <w:lang w:eastAsia="en-GB"/>
                <w14:ligatures w14:val="none"/>
              </w:rPr>
              <w:t xml:space="preserve"> 4, </w:t>
            </w:r>
            <w:r>
              <w:rPr>
                <w:rFonts w:ascii="Calibri" w:eastAsia="Times New Roman" w:hAnsi="Calibri" w:cs="Calibri"/>
                <w:kern w:val="0"/>
                <w:lang w:eastAsia="en-GB"/>
                <w14:ligatures w14:val="none"/>
              </w:rPr>
              <w:t>Para</w:t>
            </w:r>
            <w:r>
              <w:rPr>
                <w:rFonts w:ascii="Calibri" w:eastAsia="Times New Roman" w:hAnsi="Calibri" w:cs="Calibri"/>
                <w:kern w:val="0"/>
                <w:lang w:eastAsia="en-GB"/>
                <w14:ligatures w14:val="none"/>
              </w:rPr>
              <w:t xml:space="preserve"> 4.1-4.2)</w:t>
            </w:r>
          </w:p>
          <w:p w14:paraId="54D35B46" w14:textId="136DA8C5" w:rsidR="005973CF" w:rsidRDefault="005973CF" w:rsidP="005973CF">
            <w:pPr>
              <w:textAlignment w:val="baseline"/>
              <w:rPr>
                <w:rFonts w:ascii="Calibri" w:eastAsia="Times New Roman" w:hAnsi="Calibri" w:cs="Calibri"/>
                <w:kern w:val="0"/>
                <w:lang w:eastAsia="en-GB"/>
                <w14:ligatures w14:val="none"/>
              </w:rPr>
            </w:pPr>
            <w:r w:rsidRPr="005973CF">
              <w:rPr>
                <w:rFonts w:ascii="Calibri" w:eastAsia="Times New Roman" w:hAnsi="Calibri" w:cs="Calibri"/>
                <w:b/>
                <w:bCs/>
                <w:kern w:val="0"/>
                <w:lang w:eastAsia="en-GB"/>
                <w14:ligatures w14:val="none"/>
              </w:rPr>
              <w:t>Materiality and impact:</w:t>
            </w:r>
            <w:r>
              <w:rPr>
                <w:rFonts w:ascii="Calibri" w:eastAsia="Times New Roman" w:hAnsi="Calibri" w:cs="Calibri"/>
                <w:kern w:val="0"/>
                <w:lang w:eastAsia="en-GB"/>
                <w14:ligatures w14:val="none"/>
              </w:rPr>
              <w:t xml:space="preserve"> </w:t>
            </w:r>
            <w:r w:rsidRPr="005973CF">
              <w:rPr>
                <w:rFonts w:ascii="Calibri" w:eastAsia="Times New Roman" w:hAnsi="Calibri" w:cs="Calibri"/>
                <w:kern w:val="0"/>
                <w:lang w:eastAsia="en-GB"/>
                <w14:ligatures w14:val="none"/>
              </w:rPr>
              <w:t>“Financial firms should conduct a materiality assessment with clear definitions and thresholds for climate-related financial risks, which will help them decide how to embed climate-related financial risks into their existing risk management frameworks.”</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(Section D, Principle 4, Para 4</w:t>
            </w:r>
            <w:r>
              <w:rPr>
                <w:rFonts w:ascii="Calibri" w:eastAsia="Times New Roman" w:hAnsi="Calibri" w:cs="Calibri"/>
                <w:kern w:val="0"/>
                <w:lang w:eastAsia="en-GB"/>
                <w14:ligatures w14:val="none"/>
              </w:rPr>
              <w:t>.3</w:t>
            </w:r>
            <w:r>
              <w:rPr>
                <w:rFonts w:ascii="Calibri" w:eastAsia="Times New Roman" w:hAnsi="Calibri" w:cs="Calibri"/>
                <w:kern w:val="0"/>
                <w:lang w:eastAsia="en-GB"/>
                <w14:ligatures w14:val="none"/>
              </w:rPr>
              <w:t>)</w:t>
            </w:r>
          </w:p>
          <w:p w14:paraId="421A2961" w14:textId="35DB1C06" w:rsidR="005973CF" w:rsidRPr="005973CF" w:rsidRDefault="005973CF" w:rsidP="005973CF">
            <w:pPr>
              <w:textAlignment w:val="baseline"/>
              <w:rPr>
                <w:rFonts w:ascii="Calibri" w:eastAsia="Times New Roman" w:hAnsi="Calibri" w:cs="Calibri"/>
                <w:kern w:val="0"/>
                <w:lang w:eastAsia="en-GB"/>
                <w14:ligatures w14:val="none"/>
              </w:rPr>
            </w:pPr>
            <w:r w:rsidRPr="005973CF">
              <w:rPr>
                <w:rFonts w:ascii="Calibri" w:eastAsia="Times New Roman" w:hAnsi="Calibri" w:cs="Calibri"/>
                <w:b/>
                <w:bCs/>
                <w:kern w:val="0"/>
                <w:lang w:eastAsia="en-GB"/>
                <w14:ligatures w14:val="none"/>
              </w:rPr>
              <w:t>Monitoring and reporting:</w:t>
            </w:r>
            <w:r>
              <w:rPr>
                <w:rFonts w:ascii="Calibri" w:eastAsia="Times New Roman" w:hAnsi="Calibri" w:cs="Calibri"/>
                <w:kern w:val="0"/>
                <w:lang w:eastAsia="en-GB"/>
                <w14:ligatures w14:val="none"/>
              </w:rPr>
              <w:t xml:space="preserve"> </w:t>
            </w:r>
            <w:r w:rsidRPr="005973CF">
              <w:rPr>
                <w:rFonts w:ascii="Calibri" w:eastAsia="Times New Roman" w:hAnsi="Calibri" w:cs="Calibri"/>
                <w:kern w:val="0"/>
                <w:lang w:eastAsia="en-GB"/>
                <w14:ligatures w14:val="none"/>
              </w:rPr>
              <w:t>“The financial firm should establish procedures to provide the board and senior management with relevant information on its material climate-related financial risk exposures, including monitoring and mitigation actions. The extent, form and frequency of internal reporting should be based on the nature and scale of the risks to which the financial firm is exposed.”</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(Section D, Principle </w:t>
            </w:r>
            <w:r>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 xml:space="preserve">, Para </w:t>
            </w:r>
            <w:r>
              <w:rPr>
                <w:rFonts w:ascii="Calibri" w:eastAsia="Times New Roman" w:hAnsi="Calibri" w:cs="Calibri"/>
                <w:kern w:val="0"/>
                <w:lang w:eastAsia="en-GB"/>
                <w14:ligatures w14:val="none"/>
              </w:rPr>
              <w:t>5.2</w:t>
            </w:r>
            <w:r>
              <w:rPr>
                <w:rFonts w:ascii="Calibri" w:eastAsia="Times New Roman" w:hAnsi="Calibri" w:cs="Calibri"/>
                <w:kern w:val="0"/>
                <w:lang w:eastAsia="en-GB"/>
                <w14:ligatures w14:val="none"/>
              </w:rPr>
              <w:t>)</w:t>
            </w:r>
          </w:p>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54CC461" w:rsidR="008C4722" w:rsidRPr="00CF2E7C" w:rsidRDefault="00FF49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5D169B7F" w:rsidR="008C4722" w:rsidRPr="00CF2E7C" w:rsidRDefault="00FF49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4758444F" w:rsidR="008C4722" w:rsidRPr="00CF2E7C" w:rsidRDefault="00FF49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A19CC8" w14:textId="77777777" w:rsidR="00FF4962" w:rsidRPr="00FF4962" w:rsidRDefault="00FF4962" w:rsidP="00FF4962">
            <w:pPr>
              <w:textAlignment w:val="baseline"/>
              <w:rPr>
                <w:rFonts w:ascii="Calibri" w:eastAsia="Times New Roman" w:hAnsi="Calibri" w:cs="Calibri"/>
                <w:kern w:val="0"/>
                <w:lang w:eastAsia="en-GB"/>
                <w14:ligatures w14:val="none"/>
              </w:rPr>
            </w:pPr>
            <w:r w:rsidRPr="00FF4962">
              <w:rPr>
                <w:rFonts w:ascii="Calibri" w:eastAsia="Times New Roman" w:hAnsi="Calibri" w:cs="Calibri"/>
                <w:b/>
                <w:bCs/>
                <w:kern w:val="0"/>
                <w:lang w:eastAsia="en-GB"/>
                <w14:ligatures w14:val="none"/>
              </w:rPr>
              <w:t>Pillar 1: Minimum capital requirements for banks</w:t>
            </w:r>
            <w:r w:rsidRPr="00FF4962">
              <w:rPr>
                <w:rFonts w:ascii="Calibri" w:eastAsia="Times New Roman" w:hAnsi="Calibri" w:cs="Calibri"/>
                <w:kern w:val="0"/>
                <w:lang w:eastAsia="en-GB"/>
                <w14:ligatures w14:val="none"/>
              </w:rPr>
              <w:br/>
              <w:t xml:space="preserve">The </w:t>
            </w:r>
            <w:r>
              <w:rPr>
                <w:rFonts w:ascii="Calibri" w:eastAsia="Times New Roman" w:hAnsi="Calibri" w:cs="Calibri"/>
                <w:kern w:val="0"/>
                <w:lang w:eastAsia="en-GB"/>
                <w14:ligatures w14:val="none"/>
              </w:rPr>
              <w:t>policy tool</w:t>
            </w:r>
            <w:r w:rsidRPr="00FF4962">
              <w:rPr>
                <w:rFonts w:ascii="Calibri" w:eastAsia="Times New Roman" w:hAnsi="Calibri" w:cs="Calibri"/>
                <w:kern w:val="0"/>
                <w:lang w:eastAsia="en-GB"/>
                <w14:ligatures w14:val="none"/>
              </w:rPr>
              <w:t xml:space="preserve"> acknowledge the relevance of minimum capital requirements but do not prescribe specific adjustments to Pillar 1 capital requirements for climate-related risks. The focus is on integration into risk management and supervisory review (Pillar 2).</w:t>
            </w:r>
          </w:p>
          <w:p w14:paraId="49161CE6" w14:textId="7EE54FB8" w:rsidR="00FF4962" w:rsidRPr="00FF4962" w:rsidRDefault="00FF4962" w:rsidP="00FF4962">
            <w:pPr>
              <w:textAlignment w:val="baseline"/>
              <w:rPr>
                <w:rFonts w:ascii="Calibri" w:eastAsia="Times New Roman" w:hAnsi="Calibri" w:cs="Calibri"/>
                <w:kern w:val="0"/>
                <w:lang w:eastAsia="en-GB"/>
                <w14:ligatures w14:val="none"/>
              </w:rPr>
            </w:pPr>
            <w:r w:rsidRPr="00FF4962">
              <w:rPr>
                <w:rFonts w:ascii="Calibri" w:eastAsia="Times New Roman" w:hAnsi="Calibri" w:cs="Calibri"/>
                <w:b/>
                <w:bCs/>
                <w:kern w:val="0"/>
                <w:lang w:eastAsia="en-GB"/>
                <w14:ligatures w14:val="none"/>
              </w:rPr>
              <w:t>Pillar 2: Banking supervision review and capital add-ons</w:t>
            </w:r>
            <w:r w:rsidRPr="00FF4962">
              <w:rPr>
                <w:rFonts w:ascii="Calibri" w:eastAsia="Times New Roman" w:hAnsi="Calibri" w:cs="Calibri"/>
                <w:kern w:val="0"/>
                <w:lang w:eastAsia="en-GB"/>
                <w14:ligatures w14:val="none"/>
              </w:rPr>
              <w:br/>
              <w:t xml:space="preserve">The </w:t>
            </w:r>
            <w:r>
              <w:rPr>
                <w:rFonts w:ascii="Calibri" w:eastAsia="Times New Roman" w:hAnsi="Calibri" w:cs="Calibri"/>
                <w:kern w:val="0"/>
                <w:lang w:eastAsia="en-GB"/>
                <w14:ligatures w14:val="none"/>
              </w:rPr>
              <w:t>policy tool</w:t>
            </w:r>
            <w:r w:rsidRPr="00FF4962">
              <w:rPr>
                <w:rFonts w:ascii="Calibri" w:eastAsia="Times New Roman" w:hAnsi="Calibri" w:cs="Calibri"/>
                <w:kern w:val="0"/>
                <w:lang w:eastAsia="en-GB"/>
                <w14:ligatures w14:val="none"/>
              </w:rPr>
              <w:t xml:space="preserve"> require financial institutions to incorporate material climate-related financial risks into their internal capital adequacy assessment processes (ICAAP) and other supervisory reviews, in line with Pillar 2’s focus on supervisory review and the potential for capital add-ons where risks are not adequately captured by minimum requirements. </w:t>
            </w:r>
          </w:p>
          <w:p w14:paraId="19A08324" w14:textId="02533194" w:rsidR="008C4722" w:rsidRPr="00CF2E7C" w:rsidRDefault="00FF4962" w:rsidP="00FF4962">
            <w:pPr>
              <w:textAlignment w:val="baseline"/>
              <w:rPr>
                <w:rFonts w:ascii="Calibri" w:eastAsia="Times New Roman" w:hAnsi="Calibri" w:cs="Calibri"/>
                <w:kern w:val="0"/>
                <w:lang w:eastAsia="en-GB"/>
                <w14:ligatures w14:val="none"/>
              </w:rPr>
            </w:pPr>
            <w:r w:rsidRPr="00FF4962">
              <w:rPr>
                <w:rFonts w:ascii="Calibri" w:eastAsia="Times New Roman" w:hAnsi="Calibri" w:cs="Calibri"/>
                <w:b/>
                <w:bCs/>
                <w:kern w:val="0"/>
                <w:lang w:eastAsia="en-GB"/>
                <w14:ligatures w14:val="none"/>
              </w:rPr>
              <w:t>Pillar 3: Market discipline and disclosure</w:t>
            </w:r>
            <w:r w:rsidRPr="00FF4962">
              <w:rPr>
                <w:rFonts w:ascii="Calibri" w:eastAsia="Times New Roman" w:hAnsi="Calibri" w:cs="Calibri"/>
                <w:kern w:val="0"/>
                <w:lang w:eastAsia="en-GB"/>
                <w14:ligatures w14:val="none"/>
              </w:rPr>
              <w:br/>
              <w:t xml:space="preserve">The </w:t>
            </w:r>
            <w:r>
              <w:rPr>
                <w:rFonts w:ascii="Calibri" w:eastAsia="Times New Roman" w:hAnsi="Calibri" w:cs="Calibri"/>
                <w:kern w:val="0"/>
                <w:lang w:eastAsia="en-GB"/>
                <w14:ligatures w14:val="none"/>
              </w:rPr>
              <w:t>policy tool</w:t>
            </w:r>
            <w:r w:rsidRPr="00FF4962">
              <w:rPr>
                <w:rFonts w:ascii="Calibri" w:eastAsia="Times New Roman" w:hAnsi="Calibri" w:cs="Calibri"/>
                <w:kern w:val="0"/>
                <w:lang w:eastAsia="en-GB"/>
                <w14:ligatures w14:val="none"/>
              </w:rPr>
              <w:t xml:space="preserve"> emphasise transparent disclosure of material climate-related risks and recommend alignment with international disclosure frameworks such as the TCFD, consistent with Pillar 3’s focus on market discipline through disclosure. </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3695D808" w:rsidR="007B7DEE" w:rsidRPr="00CF2E7C" w:rsidRDefault="00FF49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995FFFF" w:rsidR="00ED7E12" w:rsidRPr="00CF2E7C" w:rsidRDefault="00825E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7A8A9B58" w:rsidR="00ED7E12" w:rsidRPr="00CF2E7C" w:rsidRDefault="00825EE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64B938" w14:textId="77777777" w:rsidR="00ED7E12" w:rsidRPr="00453FB4" w:rsidRDefault="00453FB4" w:rsidP="00CF2E7C">
            <w:pPr>
              <w:textAlignment w:val="baseline"/>
              <w:rPr>
                <w:rFonts w:ascii="Calibri" w:eastAsia="Times New Roman" w:hAnsi="Calibri" w:cs="Calibri"/>
                <w:b/>
                <w:bCs/>
                <w:kern w:val="0"/>
                <w:lang w:eastAsia="en-GB"/>
                <w14:ligatures w14:val="none"/>
              </w:rPr>
            </w:pPr>
            <w:r w:rsidRPr="00453FB4">
              <w:rPr>
                <w:rFonts w:ascii="Calibri" w:eastAsia="Times New Roman" w:hAnsi="Calibri" w:cs="Calibri"/>
                <w:b/>
                <w:bCs/>
                <w:kern w:val="0"/>
                <w:lang w:eastAsia="en-GB"/>
                <w14:ligatures w14:val="none"/>
              </w:rPr>
              <w:t>Self-reporting by targeted entities:</w:t>
            </w:r>
          </w:p>
          <w:p w14:paraId="3D43FD59" w14:textId="725BAC54" w:rsidR="00453FB4" w:rsidRDefault="00453FB4" w:rsidP="00453FB4">
            <w:pPr>
              <w:textAlignment w:val="baseline"/>
              <w:rPr>
                <w:rFonts w:ascii="Calibri" w:eastAsia="Times New Roman" w:hAnsi="Calibri" w:cs="Calibri"/>
                <w:kern w:val="0"/>
                <w:lang w:eastAsia="en-GB"/>
                <w14:ligatures w14:val="none"/>
              </w:rPr>
            </w:pPr>
            <w:r w:rsidRPr="00453FB4">
              <w:rPr>
                <w:rFonts w:ascii="Calibri" w:eastAsia="Times New Roman" w:hAnsi="Calibri" w:cs="Calibri"/>
                <w:kern w:val="0"/>
                <w:lang w:eastAsia="en-GB"/>
                <w14:ligatures w14:val="none"/>
              </w:rPr>
              <w:t>Regulated entities are required to establish procedures to provide their board and senior management with relevant information on material climate-related financial risk exposures, including monitoring and mitigation actions. The extent, form, and frequency of internal reporting should be based on the nature and scale of the risks to which the financial firm is exposed.</w:t>
            </w:r>
            <w:r>
              <w:rPr>
                <w:rFonts w:ascii="Calibri" w:eastAsia="Times New Roman" w:hAnsi="Calibri" w:cs="Calibri"/>
                <w:kern w:val="0"/>
                <w:lang w:eastAsia="en-GB"/>
                <w14:ligatures w14:val="none"/>
              </w:rPr>
              <w:t xml:space="preserve"> (Section D, Principle 5, Para 5.2)</w:t>
            </w:r>
          </w:p>
          <w:p w14:paraId="079A7D77" w14:textId="06730CBF" w:rsidR="00453FB4" w:rsidRPr="00453FB4" w:rsidRDefault="00453FB4" w:rsidP="00453FB4">
            <w:pPr>
              <w:textAlignment w:val="baseline"/>
              <w:rPr>
                <w:rFonts w:ascii="Calibri" w:eastAsia="Times New Roman" w:hAnsi="Calibri" w:cs="Calibri"/>
                <w:b/>
                <w:bCs/>
                <w:kern w:val="0"/>
                <w:lang w:eastAsia="en-GB"/>
                <w14:ligatures w14:val="none"/>
              </w:rPr>
            </w:pPr>
            <w:r w:rsidRPr="00453FB4">
              <w:rPr>
                <w:rFonts w:ascii="Calibri" w:eastAsia="Times New Roman" w:hAnsi="Calibri" w:cs="Calibri"/>
                <w:b/>
                <w:bCs/>
                <w:kern w:val="0"/>
                <w:lang w:eastAsia="en-GB"/>
                <w14:ligatures w14:val="none"/>
              </w:rPr>
              <w:t>Regulatory oversight by Financial Supervisor:</w:t>
            </w:r>
          </w:p>
          <w:p w14:paraId="114D91C9" w14:textId="1B34225F" w:rsidR="00453FB4" w:rsidRPr="00453FB4" w:rsidRDefault="00453FB4" w:rsidP="00453FB4">
            <w:pPr>
              <w:textAlignment w:val="baseline"/>
              <w:rPr>
                <w:rFonts w:ascii="Calibri" w:eastAsia="Times New Roman" w:hAnsi="Calibri" w:cs="Calibri"/>
                <w:kern w:val="0"/>
                <w:lang w:eastAsia="en-GB"/>
                <w14:ligatures w14:val="none"/>
              </w:rPr>
            </w:pPr>
            <w:r w:rsidRPr="00453FB4">
              <w:rPr>
                <w:rFonts w:ascii="Calibri" w:eastAsia="Times New Roman" w:hAnsi="Calibri" w:cs="Calibri"/>
                <w:kern w:val="0"/>
                <w:lang w:eastAsia="en-GB"/>
                <w14:ligatures w14:val="none"/>
              </w:rPr>
              <w:t>The Central Bank, as the financial supervisor, reviews the internal capital and liquidity adequacy assessment processes (ICAAP/ILAAP) of regulated entities. Relevant financial firms are required to incorporate material climate-related financial risks into these frameworks and the Central Bank may review and challenge the adequacy of these assessments as part of its supervisory activities.</w:t>
            </w:r>
            <w:r>
              <w:rPr>
                <w:rFonts w:ascii="Calibri" w:eastAsia="Times New Roman" w:hAnsi="Calibri" w:cs="Calibri"/>
                <w:kern w:val="0"/>
                <w:lang w:eastAsia="en-GB"/>
                <w14:ligatures w14:val="none"/>
              </w:rPr>
              <w:t xml:space="preserve"> (Section D, Principle 6, Para 6.3)</w:t>
            </w:r>
          </w:p>
          <w:p w14:paraId="42FF8A1B" w14:textId="223D1BFD" w:rsidR="00453FB4" w:rsidRPr="00CF2E7C" w:rsidRDefault="00453FB4"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6D0E368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55A6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554FB64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55A66">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E10DA1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55A6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178CBBA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55A6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0D0851E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55A66">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133A1E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E55A6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3C48F9F4" w:rsidR="00C82860" w:rsidRPr="00CF2E7C" w:rsidRDefault="00E55A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F4FD75D" w14:textId="33F26541" w:rsidR="002D7FEE" w:rsidRDefault="002D7FEE" w:rsidP="002D7FEE">
            <w:pPr>
              <w:textAlignment w:val="baseline"/>
              <w:rPr>
                <w:rFonts w:ascii="Calibri" w:eastAsia="Times New Roman" w:hAnsi="Calibri" w:cs="Calibri"/>
                <w:kern w:val="0"/>
                <w:lang w:eastAsia="en-GB"/>
                <w14:ligatures w14:val="none"/>
              </w:rPr>
            </w:pPr>
            <w:r w:rsidRPr="002D7FEE">
              <w:rPr>
                <w:rFonts w:ascii="Calibri" w:eastAsia="Times New Roman" w:hAnsi="Calibri" w:cs="Calibri"/>
                <w:b/>
                <w:bCs/>
                <w:kern w:val="0"/>
                <w:lang w:eastAsia="en-GB"/>
                <w14:ligatures w14:val="none"/>
              </w:rPr>
              <w:t>Materiality Assessment:</w:t>
            </w:r>
            <w:r w:rsidRPr="002D7FEE">
              <w:rPr>
                <w:rFonts w:ascii="Calibri" w:eastAsia="Times New Roman" w:hAnsi="Calibri" w:cs="Calibri"/>
                <w:kern w:val="0"/>
                <w:lang w:eastAsia="en-GB"/>
                <w14:ligatures w14:val="none"/>
              </w:rPr>
              <w:br/>
              <w:t>Each entity must conduct a materiality assessment to determine which climate-related risks and governance practices are significant enough to warrant disclosure.</w:t>
            </w:r>
            <w:r>
              <w:rPr>
                <w:rFonts w:ascii="Calibri" w:eastAsia="Times New Roman" w:hAnsi="Calibri" w:cs="Calibri"/>
                <w:kern w:val="0"/>
                <w:lang w:eastAsia="en-GB"/>
                <w14:ligatures w14:val="none"/>
              </w:rPr>
              <w:t xml:space="preserve"> (Principle 4, Para 4.3)</w:t>
            </w:r>
          </w:p>
          <w:p w14:paraId="3E333AC4" w14:textId="29961AD7" w:rsidR="002D7FEE" w:rsidRPr="002D7FEE" w:rsidRDefault="002D7FEE" w:rsidP="002D7FEE">
            <w:pPr>
              <w:textAlignment w:val="baseline"/>
              <w:rPr>
                <w:rFonts w:ascii="Calibri" w:eastAsia="Times New Roman" w:hAnsi="Calibri" w:cs="Calibri"/>
                <w:kern w:val="0"/>
                <w:lang w:eastAsia="en-GB"/>
                <w14:ligatures w14:val="none"/>
              </w:rPr>
            </w:pPr>
            <w:r w:rsidRPr="002D7FEE">
              <w:rPr>
                <w:rFonts w:ascii="Calibri" w:eastAsia="Times New Roman" w:hAnsi="Calibri" w:cs="Calibri"/>
                <w:b/>
                <w:bCs/>
                <w:kern w:val="0"/>
                <w:lang w:eastAsia="en-GB"/>
                <w14:ligatures w14:val="none"/>
              </w:rPr>
              <w:t>Disclosure of Governance and Risk Management:</w:t>
            </w:r>
            <w:r w:rsidRPr="002D7FEE">
              <w:rPr>
                <w:rFonts w:ascii="Calibri" w:eastAsia="Times New Roman" w:hAnsi="Calibri" w:cs="Calibri"/>
                <w:kern w:val="0"/>
                <w:lang w:eastAsia="en-GB"/>
                <w14:ligatures w14:val="none"/>
              </w:rPr>
              <w:br/>
              <w:t>Entities are expected to disclose how climate-related risks are identified, assessed, managed, and overseen, including the roles and responsibilities of the board and senior management.</w:t>
            </w:r>
            <w:r>
              <w:rPr>
                <w:rFonts w:ascii="Calibri" w:eastAsia="Times New Roman" w:hAnsi="Calibri" w:cs="Calibri"/>
                <w:kern w:val="0"/>
                <w:lang w:eastAsia="en-GB"/>
                <w14:ligatures w14:val="none"/>
              </w:rPr>
              <w:t xml:space="preserve"> (Principle 1, Para 1 and Principle 3, Para 3.1)</w:t>
            </w:r>
          </w:p>
          <w:p w14:paraId="5A57EB61" w14:textId="1088210E" w:rsidR="002D7FEE" w:rsidRPr="002D7FEE" w:rsidRDefault="002D7FEE" w:rsidP="002D7FEE">
            <w:pPr>
              <w:textAlignment w:val="baseline"/>
              <w:rPr>
                <w:rFonts w:ascii="Calibri" w:eastAsia="Times New Roman" w:hAnsi="Calibri" w:cs="Calibri"/>
                <w:kern w:val="0"/>
                <w:lang w:eastAsia="en-GB"/>
                <w14:ligatures w14:val="none"/>
              </w:rPr>
            </w:pPr>
            <w:r w:rsidRPr="002D7FEE">
              <w:rPr>
                <w:rFonts w:ascii="Calibri" w:eastAsia="Times New Roman" w:hAnsi="Calibri" w:cs="Calibri"/>
                <w:b/>
                <w:bCs/>
                <w:kern w:val="0"/>
                <w:lang w:eastAsia="en-GB"/>
                <w14:ligatures w14:val="none"/>
              </w:rPr>
              <w:t>Reporting to Stakeholders:</w:t>
            </w:r>
            <w:r w:rsidRPr="002D7FEE">
              <w:rPr>
                <w:rFonts w:ascii="Calibri" w:eastAsia="Times New Roman" w:hAnsi="Calibri" w:cs="Calibri"/>
                <w:kern w:val="0"/>
                <w:lang w:eastAsia="en-GB"/>
                <w14:ligatures w14:val="none"/>
              </w:rPr>
              <w:br/>
              <w:t>Internal reporting systems must be capable of monitoring material climate-related financial risks and providing relevant information to the board, senior management, and stakeholders as appropriate.</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(Principle </w:t>
            </w:r>
            <w:r>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 xml:space="preserve">, Para </w:t>
            </w:r>
            <w:r>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2</w:t>
            </w:r>
            <w:r>
              <w:rPr>
                <w:rFonts w:ascii="Calibri" w:eastAsia="Times New Roman" w:hAnsi="Calibri" w:cs="Calibri"/>
                <w:kern w:val="0"/>
                <w:lang w:eastAsia="en-GB"/>
                <w14:ligatures w14:val="none"/>
              </w:rPr>
              <w:t>)</w:t>
            </w:r>
          </w:p>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7F7FC2EC" w:rsidR="00C82860" w:rsidRPr="00CF2E7C" w:rsidRDefault="00D900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15D01CAF" w:rsidR="00C82860" w:rsidRPr="00CF2E7C" w:rsidRDefault="00D900BA" w:rsidP="00D900BA">
            <w:pPr>
              <w:textAlignment w:val="baseline"/>
              <w:rPr>
                <w:rFonts w:ascii="Calibri" w:eastAsia="Times New Roman" w:hAnsi="Calibri" w:cs="Calibri"/>
                <w:kern w:val="0"/>
                <w:lang w:eastAsia="en-GB"/>
                <w14:ligatures w14:val="none"/>
              </w:rPr>
            </w:pPr>
            <w:r w:rsidRPr="00D900BA">
              <w:rPr>
                <w:rFonts w:ascii="Calibri" w:eastAsia="Times New Roman" w:hAnsi="Calibri" w:cs="Calibri"/>
                <w:kern w:val="0"/>
                <w:lang w:eastAsia="en-GB"/>
                <w14:ligatures w14:val="none"/>
              </w:rPr>
              <w:t xml:space="preserve">Principle 4 requires that climate-related risks be incorporated into the organisation’s internal risk management framework and that policies and procedures be developed to identify, assess, measure, mitigate, monitor, and report on climate-related financial risk exposures. </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74A6A96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900B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38BCF2B6"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900B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43B80F5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900B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0731C45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D900BA">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BE3198E" w14:textId="1D8B247A" w:rsidR="00FD677B" w:rsidRDefault="00FD677B" w:rsidP="00FD677B">
            <w:pPr>
              <w:textAlignment w:val="baseline"/>
              <w:rPr>
                <w:rFonts w:ascii="Calibri" w:eastAsia="Times New Roman" w:hAnsi="Calibri" w:cs="Calibri"/>
                <w:kern w:val="0"/>
                <w:lang w:eastAsia="en-GB"/>
                <w14:ligatures w14:val="none"/>
              </w:rPr>
            </w:pPr>
            <w:r w:rsidRPr="00FD677B">
              <w:rPr>
                <w:rFonts w:ascii="Calibri" w:eastAsia="Times New Roman" w:hAnsi="Calibri" w:cs="Calibri"/>
                <w:kern w:val="0"/>
                <w:lang w:eastAsia="en-GB"/>
                <w14:ligatures w14:val="none"/>
              </w:rPr>
              <w:t>The policy</w:t>
            </w:r>
            <w:r>
              <w:rPr>
                <w:rFonts w:ascii="Calibri" w:eastAsia="Times New Roman" w:hAnsi="Calibri" w:cs="Calibri"/>
                <w:kern w:val="0"/>
                <w:lang w:eastAsia="en-GB"/>
                <w14:ligatures w14:val="none"/>
              </w:rPr>
              <w:t xml:space="preserve"> tool</w:t>
            </w:r>
            <w:r w:rsidRPr="00FD677B">
              <w:rPr>
                <w:rFonts w:ascii="Calibri" w:eastAsia="Times New Roman" w:hAnsi="Calibri" w:cs="Calibri"/>
                <w:kern w:val="0"/>
                <w:lang w:eastAsia="en-GB"/>
                <w14:ligatures w14:val="none"/>
              </w:rPr>
              <w:t xml:space="preserve"> requires financial institutions to identify and assess climate-related financial risks affecting their business, operations, and portfolios. This includes conducting a comprehensive assessment of how such risks may impact the institution, considering a range of plausible scenarios and time horizons.</w:t>
            </w:r>
            <w:r>
              <w:rPr>
                <w:rFonts w:ascii="Calibri" w:eastAsia="Times New Roman" w:hAnsi="Calibri" w:cs="Calibri"/>
                <w:kern w:val="0"/>
                <w:lang w:eastAsia="en-GB"/>
                <w14:ligatures w14:val="none"/>
              </w:rPr>
              <w:t xml:space="preserve"> (Principle 4, Para 4.1-4.2)</w:t>
            </w:r>
          </w:p>
          <w:p w14:paraId="6C45EC7C" w14:textId="2A05A172" w:rsidR="00FD677B" w:rsidRDefault="00FD677B" w:rsidP="00FD677B">
            <w:pPr>
              <w:textAlignment w:val="baseline"/>
              <w:rPr>
                <w:rFonts w:ascii="Calibri" w:eastAsia="Times New Roman" w:hAnsi="Calibri" w:cs="Calibri"/>
                <w:kern w:val="0"/>
                <w:lang w:eastAsia="en-GB"/>
                <w14:ligatures w14:val="none"/>
              </w:rPr>
            </w:pPr>
            <w:r w:rsidRPr="00FD677B">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FD677B">
              <w:rPr>
                <w:rFonts w:ascii="Calibri" w:eastAsia="Times New Roman" w:hAnsi="Calibri" w:cs="Calibri"/>
                <w:kern w:val="0"/>
                <w:lang w:eastAsia="en-GB"/>
                <w14:ligatures w14:val="none"/>
              </w:rPr>
              <w:t xml:space="preserve"> state that, depending on the type of exposure and risk drivers, financial firms should deploy qualitative and/or quantitative approaches to assess the materiality of climate-related risks. This means developing and using metrics to determine the significance of exposures to climate physical and transition risks.</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(Principle 4, Para 4</w:t>
            </w:r>
            <w:r>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w:t>
            </w:r>
          </w:p>
          <w:p w14:paraId="10A4FD50" w14:textId="145EFD58" w:rsidR="00FD677B" w:rsidRPr="00FD677B" w:rsidRDefault="00FD677B" w:rsidP="00FD677B">
            <w:pPr>
              <w:textAlignment w:val="baseline"/>
              <w:rPr>
                <w:rFonts w:ascii="Calibri" w:eastAsia="Times New Roman" w:hAnsi="Calibri" w:cs="Calibri"/>
                <w:kern w:val="0"/>
                <w:lang w:eastAsia="en-GB"/>
                <w14:ligatures w14:val="none"/>
              </w:rPr>
            </w:pPr>
            <w:r w:rsidRPr="00FD677B">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FD677B">
              <w:rPr>
                <w:rFonts w:ascii="Calibri" w:eastAsia="Times New Roman" w:hAnsi="Calibri" w:cs="Calibri"/>
                <w:kern w:val="0"/>
                <w:lang w:eastAsia="en-GB"/>
                <w14:ligatures w14:val="none"/>
              </w:rPr>
              <w:t xml:space="preserve"> recommend that financial firms develop an adequate data governance framework that covers the nature and level of the risks to which they are or might be exposed. This enables the use of sufficiently forward-looking and granular climate-related risk information in risk management and governance strategies, supporting the development and application of relevant metrics.</w:t>
            </w:r>
            <w:r>
              <w:rPr>
                <w:rFonts w:ascii="Calibri" w:eastAsia="Times New Roman" w:hAnsi="Calibri" w:cs="Calibri"/>
                <w:kern w:val="0"/>
                <w:lang w:eastAsia="en-GB"/>
                <w14:ligatures w14:val="none"/>
              </w:rPr>
              <w:t xml:space="preserve"> </w:t>
            </w:r>
            <w:r>
              <w:rPr>
                <w:rFonts w:ascii="Calibri" w:eastAsia="Times New Roman" w:hAnsi="Calibri" w:cs="Calibri"/>
                <w:kern w:val="0"/>
                <w:lang w:eastAsia="en-GB"/>
                <w14:ligatures w14:val="none"/>
              </w:rPr>
              <w:t xml:space="preserve">(Principle </w:t>
            </w:r>
            <w:r>
              <w:rPr>
                <w:rFonts w:ascii="Calibri" w:eastAsia="Times New Roman" w:hAnsi="Calibri" w:cs="Calibri"/>
                <w:kern w:val="0"/>
                <w:lang w:eastAsia="en-GB"/>
                <w14:ligatures w14:val="none"/>
              </w:rPr>
              <w:t>5</w:t>
            </w:r>
            <w:r>
              <w:rPr>
                <w:rFonts w:ascii="Calibri" w:eastAsia="Times New Roman" w:hAnsi="Calibri" w:cs="Calibri"/>
                <w:kern w:val="0"/>
                <w:lang w:eastAsia="en-GB"/>
                <w14:ligatures w14:val="none"/>
              </w:rPr>
              <w:t xml:space="preserve">, Para </w:t>
            </w:r>
            <w:r>
              <w:rPr>
                <w:rFonts w:ascii="Calibri" w:eastAsia="Times New Roman" w:hAnsi="Calibri" w:cs="Calibri"/>
                <w:kern w:val="0"/>
                <w:lang w:eastAsia="en-GB"/>
                <w14:ligatures w14:val="none"/>
              </w:rPr>
              <w:t>5.7</w:t>
            </w:r>
            <w:r>
              <w:rPr>
                <w:rFonts w:ascii="Calibri" w:eastAsia="Times New Roman" w:hAnsi="Calibri" w:cs="Calibri"/>
                <w:kern w:val="0"/>
                <w:lang w:eastAsia="en-GB"/>
                <w14:ligatures w14:val="none"/>
              </w:rPr>
              <w:t>)</w:t>
            </w:r>
          </w:p>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70371283" w:rsidR="00655FF7" w:rsidRPr="00CF2E7C" w:rsidRDefault="00EB2A1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6ED80723" w:rsidR="003032A9" w:rsidRPr="00CF2E7C" w:rsidRDefault="0067226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36212080" w:rsidR="009818E7" w:rsidRPr="00CF2E7C" w:rsidRDefault="00672269" w:rsidP="00672269">
            <w:pPr>
              <w:textAlignment w:val="baseline"/>
              <w:rPr>
                <w:rFonts w:ascii="Calibri" w:eastAsia="Times New Roman" w:hAnsi="Calibri" w:cs="Calibri"/>
                <w:kern w:val="0"/>
                <w:lang w:eastAsia="en-GB"/>
                <w14:ligatures w14:val="none"/>
              </w:rPr>
            </w:pPr>
            <w:r w:rsidRPr="00672269">
              <w:rPr>
                <w:rFonts w:ascii="Calibri" w:eastAsia="Times New Roman" w:hAnsi="Calibri" w:cs="Calibri"/>
                <w:kern w:val="0"/>
                <w:lang w:eastAsia="en-GB"/>
                <w14:ligatures w14:val="none"/>
              </w:rPr>
              <w:t>Where appropriate, relevant financial firms should develop and implement climate-related scenario analysis frameworks, including stress testing, in a manner commensurate with their size, complexity, risk profile and nature of activities.</w:t>
            </w:r>
            <w:r>
              <w:rPr>
                <w:rFonts w:ascii="Calibri" w:eastAsia="Times New Roman" w:hAnsi="Calibri" w:cs="Calibri"/>
                <w:kern w:val="0"/>
                <w:lang w:eastAsia="en-GB"/>
                <w14:ligatures w14:val="none"/>
              </w:rPr>
              <w:t xml:space="preserve"> (Principle 7, Para 7)</w:t>
            </w: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40F6A404" w:rsidR="003D5104" w:rsidRPr="00CF2E7C" w:rsidRDefault="00635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50FF0E69" w:rsidR="003D5104" w:rsidRPr="00CF2E7C" w:rsidRDefault="00635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63D8ADA1" w:rsidR="003D5104" w:rsidRPr="00CF2E7C" w:rsidRDefault="00635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0A89F161" w:rsidR="003D5104" w:rsidRPr="00CF2E7C" w:rsidRDefault="00635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2C7B7B76" w:rsidR="00BE1F9E" w:rsidRPr="00CF2E7C" w:rsidRDefault="0063515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88EE2A8" w14:textId="770E4BE7" w:rsidR="00CB7963" w:rsidRPr="00CB7963" w:rsidRDefault="00CB7963" w:rsidP="00CB796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E</w:t>
            </w:r>
            <w:r w:rsidRPr="00CB7963">
              <w:rPr>
                <w:rFonts w:ascii="Calibri" w:eastAsia="Times New Roman" w:hAnsi="Calibri" w:cs="Calibri"/>
                <w:kern w:val="0"/>
                <w:lang w:eastAsia="en-GB"/>
                <w14:ligatures w14:val="none"/>
              </w:rPr>
              <w:t xml:space="preserve">ach regulated financial institution selects climate scenarios for stress-testing and scenario analysis internally, based on its own risk profile, business model and exposures. </w:t>
            </w:r>
            <w:r w:rsidRPr="00CB7963">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Principle 7, Para 7.4-7.5)</w:t>
            </w:r>
          </w:p>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BF0D5D4" w:rsidR="00DC31BF" w:rsidRPr="00CF2E7C" w:rsidRDefault="00E723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4B3AE99B" w:rsidR="0098226E" w:rsidRPr="00CF2E7C" w:rsidRDefault="00A32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54AB2E04" w:rsidR="00F10A6E" w:rsidRPr="00CF2E7C" w:rsidRDefault="00A32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627B742" w:rsidR="00F26296" w:rsidRPr="00CF2E7C" w:rsidRDefault="00A32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7CAE4C38" w:rsidR="00F26296" w:rsidRPr="00CF2E7C" w:rsidRDefault="00A323E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FD74FE5" w14:textId="79C714EB" w:rsidR="00840847" w:rsidRDefault="00840847" w:rsidP="00840847">
            <w:pPr>
              <w:textAlignment w:val="baseline"/>
              <w:rPr>
                <w:rFonts w:ascii="Calibri" w:eastAsia="Times New Roman" w:hAnsi="Calibri" w:cs="Calibri"/>
                <w:kern w:val="0"/>
                <w:lang w:eastAsia="en-GB"/>
                <w14:ligatures w14:val="none"/>
              </w:rPr>
            </w:pPr>
            <w:r w:rsidRPr="00840847">
              <w:rPr>
                <w:rFonts w:ascii="Calibri" w:eastAsia="Times New Roman" w:hAnsi="Calibri" w:cs="Calibri"/>
                <w:kern w:val="0"/>
                <w:lang w:eastAsia="en-GB"/>
                <w14:ligatures w14:val="none"/>
              </w:rPr>
              <w:t>The Principles require that scenario analysis and stress-testing results be used as inputs to the internal capital and liquidity adequacy assessment processes (ICAAP/ILAAP), helping institutions evaluate the impact of climate-related risks on their capital and liquidity positions and plan appropriate buffers</w:t>
            </w:r>
            <w:r>
              <w:rPr>
                <w:rFonts w:ascii="Calibri" w:eastAsia="Times New Roman" w:hAnsi="Calibri" w:cs="Calibri"/>
                <w:kern w:val="0"/>
                <w:lang w:eastAsia="en-GB"/>
                <w14:ligatures w14:val="none"/>
              </w:rPr>
              <w:t>.</w:t>
            </w:r>
          </w:p>
          <w:p w14:paraId="281CD9FB" w14:textId="77777777" w:rsidR="00840847" w:rsidRDefault="00840847" w:rsidP="00840847">
            <w:pPr>
              <w:textAlignment w:val="baseline"/>
              <w:rPr>
                <w:rFonts w:ascii="Calibri" w:eastAsia="Times New Roman" w:hAnsi="Calibri" w:cs="Calibri"/>
                <w:kern w:val="0"/>
                <w:lang w:eastAsia="en-GB"/>
                <w14:ligatures w14:val="none"/>
              </w:rPr>
            </w:pPr>
          </w:p>
          <w:p w14:paraId="27C3A393" w14:textId="0D18CE05" w:rsidR="00840847" w:rsidRPr="00840847" w:rsidRDefault="00840847" w:rsidP="00840847">
            <w:pPr>
              <w:textAlignment w:val="baseline"/>
              <w:rPr>
                <w:rFonts w:ascii="Calibri" w:eastAsia="Times New Roman" w:hAnsi="Calibri" w:cs="Calibri"/>
                <w:kern w:val="0"/>
                <w:lang w:eastAsia="en-GB"/>
                <w14:ligatures w14:val="none"/>
              </w:rPr>
            </w:pPr>
            <w:r w:rsidRPr="00840847">
              <w:rPr>
                <w:rFonts w:ascii="Calibri" w:eastAsia="Times New Roman" w:hAnsi="Calibri" w:cs="Calibri"/>
                <w:kern w:val="0"/>
                <w:lang w:eastAsia="en-GB"/>
                <w14:ligatures w14:val="none"/>
              </w:rPr>
              <w:t>The Principles require that scenario analysis and stress-testing results be used to assess the adequacy of existing risk management frameworks, design and implement mitigation actions, and inform strategic and governance decisions regarding climate risk</w:t>
            </w:r>
            <w:r>
              <w:rPr>
                <w:rFonts w:ascii="Calibri" w:eastAsia="Times New Roman" w:hAnsi="Calibri" w:cs="Calibri"/>
                <w:kern w:val="0"/>
                <w:lang w:eastAsia="en-GB"/>
                <w14:ligatures w14:val="none"/>
              </w:rPr>
              <w:t>.</w:t>
            </w:r>
          </w:p>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1631445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0847">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B176A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0847">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6B0FF7B5" w:rsidR="00F26296" w:rsidRPr="00CF2E7C" w:rsidRDefault="008408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54397055" w:rsidR="00F26296" w:rsidRPr="00CF2E7C" w:rsidRDefault="00840847" w:rsidP="00840847">
            <w:pPr>
              <w:textAlignment w:val="baseline"/>
              <w:rPr>
                <w:rFonts w:ascii="Calibri" w:eastAsia="Times New Roman" w:hAnsi="Calibri" w:cs="Calibri"/>
                <w:kern w:val="0"/>
                <w:lang w:eastAsia="en-GB"/>
                <w14:ligatures w14:val="none"/>
              </w:rPr>
            </w:pPr>
            <w:r w:rsidRPr="00840847">
              <w:rPr>
                <w:rFonts w:ascii="Calibri" w:eastAsia="Times New Roman" w:hAnsi="Calibri" w:cs="Calibri"/>
                <w:kern w:val="0"/>
                <w:lang w:eastAsia="en-GB"/>
                <w14:ligatures w14:val="none"/>
              </w:rPr>
              <w:t xml:space="preserve">The UAE Central Bank’s Principles </w:t>
            </w:r>
            <w:r w:rsidRPr="00840847">
              <w:rPr>
                <w:rFonts w:ascii="Calibri" w:eastAsia="Times New Roman" w:hAnsi="Calibri" w:cs="Calibri"/>
                <w:b/>
                <w:bCs/>
                <w:kern w:val="0"/>
                <w:lang w:eastAsia="en-GB"/>
                <w14:ligatures w14:val="none"/>
              </w:rPr>
              <w:t>require</w:t>
            </w:r>
            <w:r w:rsidRPr="00840847">
              <w:rPr>
                <w:rFonts w:ascii="Calibri" w:eastAsia="Times New Roman" w:hAnsi="Calibri" w:cs="Calibri"/>
                <w:kern w:val="0"/>
                <w:lang w:eastAsia="en-GB"/>
                <w14:ligatures w14:val="none"/>
              </w:rPr>
              <w:t xml:space="preserve"> the incorporation of material climate-related risks into the Internal Capital Adequacy Assessment Process (ICAAP) by targeted entities. </w:t>
            </w:r>
            <w:r>
              <w:rPr>
                <w:rFonts w:ascii="Calibri" w:eastAsia="Times New Roman" w:hAnsi="Calibri" w:cs="Calibri"/>
                <w:kern w:val="0"/>
                <w:lang w:eastAsia="en-GB"/>
                <w14:ligatures w14:val="none"/>
              </w:rPr>
              <w:t xml:space="preserve"> (Principle 6, Para 6.3)</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3E26D8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0847">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343301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840847">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856E076" w:rsidR="00B114FD" w:rsidRPr="00CF2E7C" w:rsidRDefault="00A97B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41389CE3" w:rsidR="00B114FD" w:rsidRPr="00CF2E7C" w:rsidRDefault="00A97BC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471FED" w14:textId="6045FBD0" w:rsidR="00A97BCA" w:rsidRDefault="00A97BCA" w:rsidP="00A97BCA">
            <w:pPr>
              <w:textAlignment w:val="baseline"/>
              <w:rPr>
                <w:rFonts w:ascii="Calibri" w:eastAsia="Times New Roman" w:hAnsi="Calibri" w:cs="Calibri"/>
                <w:i/>
                <w:iCs/>
                <w:kern w:val="0"/>
                <w:lang w:eastAsia="en-GB"/>
                <w14:ligatures w14:val="none"/>
              </w:rPr>
            </w:pPr>
            <w:r w:rsidRPr="00A97BCA">
              <w:rPr>
                <w:rFonts w:ascii="Calibri" w:eastAsia="Times New Roman" w:hAnsi="Calibri" w:cs="Calibri"/>
                <w:b/>
                <w:bCs/>
                <w:kern w:val="0"/>
                <w:lang w:eastAsia="en-GB"/>
                <w14:ligatures w14:val="none"/>
              </w:rPr>
              <w:t>Incorporating climate-related risks into internal liquidity adequacy assessment processes (ILAAP):</w:t>
            </w:r>
            <w:r w:rsidRPr="00A97BCA">
              <w:rPr>
                <w:rFonts w:ascii="Calibri" w:eastAsia="Times New Roman" w:hAnsi="Calibri" w:cs="Calibri"/>
                <w:kern w:val="0"/>
                <w:lang w:eastAsia="en-GB"/>
                <w14:ligatures w14:val="none"/>
              </w:rPr>
              <w:br/>
              <w:t>Entities must include material climate-related financial risks in their internal capital and liquidity adequacy assessment processes. This means evaluating how climate-related risks could affect their liquidity positions and ensuring their frameworks are robust enough to address these risks.</w:t>
            </w:r>
            <w:r>
              <w:rPr>
                <w:rFonts w:ascii="Calibri" w:eastAsia="Times New Roman" w:hAnsi="Calibri" w:cs="Calibri"/>
                <w:kern w:val="0"/>
                <w:lang w:eastAsia="en-GB"/>
                <w14:ligatures w14:val="none"/>
              </w:rPr>
              <w:t xml:space="preserve"> </w:t>
            </w:r>
            <w:r w:rsidRPr="00A97BCA">
              <w:rPr>
                <w:rFonts w:ascii="Calibri" w:eastAsia="Times New Roman" w:hAnsi="Calibri" w:cs="Calibri"/>
                <w:kern w:val="0"/>
                <w:lang w:eastAsia="en-GB"/>
                <w14:ligatures w14:val="none"/>
              </w:rPr>
              <w:t>(</w:t>
            </w:r>
            <w:r w:rsidRPr="00A97BCA">
              <w:rPr>
                <w:rFonts w:ascii="Calibri" w:eastAsia="Times New Roman" w:hAnsi="Calibri" w:cs="Calibri"/>
                <w:kern w:val="0"/>
                <w:lang w:eastAsia="en-GB"/>
                <w14:ligatures w14:val="none"/>
              </w:rPr>
              <w:t>Principle 6, Paragraph 6</w:t>
            </w:r>
            <w:r w:rsidRPr="00A97BCA">
              <w:rPr>
                <w:rFonts w:ascii="Calibri" w:eastAsia="Times New Roman" w:hAnsi="Calibri" w:cs="Calibri"/>
                <w:kern w:val="0"/>
                <w:lang w:eastAsia="en-GB"/>
                <w14:ligatures w14:val="none"/>
              </w:rPr>
              <w:t>)</w:t>
            </w:r>
          </w:p>
          <w:p w14:paraId="2E8E6DF7" w14:textId="3C97372F" w:rsidR="00A97BCA" w:rsidRDefault="00A97BCA" w:rsidP="00A97BCA">
            <w:pPr>
              <w:textAlignment w:val="baseline"/>
              <w:rPr>
                <w:rFonts w:ascii="Calibri" w:eastAsia="Times New Roman" w:hAnsi="Calibri" w:cs="Calibri"/>
                <w:kern w:val="0"/>
                <w:lang w:eastAsia="en-GB"/>
                <w14:ligatures w14:val="none"/>
              </w:rPr>
            </w:pPr>
            <w:r w:rsidRPr="00A97BCA">
              <w:rPr>
                <w:rFonts w:ascii="Calibri" w:eastAsia="Times New Roman" w:hAnsi="Calibri" w:cs="Calibri"/>
                <w:b/>
                <w:bCs/>
                <w:kern w:val="0"/>
                <w:lang w:eastAsia="en-GB"/>
                <w14:ligatures w14:val="none"/>
              </w:rPr>
              <w:t>Evaluating the impact of climate-related risks on liquidity over relevant time horizons:</w:t>
            </w:r>
            <w:r w:rsidRPr="00A97BCA">
              <w:rPr>
                <w:rFonts w:ascii="Calibri" w:eastAsia="Times New Roman" w:hAnsi="Calibri" w:cs="Calibri"/>
                <w:kern w:val="0"/>
                <w:lang w:eastAsia="en-GB"/>
                <w14:ligatures w14:val="none"/>
              </w:rPr>
              <w:br/>
              <w:t>Institutions are required to develop processes to assess the impact of climate-related financial risks on liquidity, capital, and solvency over specified time horizons.</w:t>
            </w:r>
            <w:r>
              <w:rPr>
                <w:rFonts w:ascii="Calibri" w:eastAsia="Times New Roman" w:hAnsi="Calibri" w:cs="Calibri"/>
                <w:kern w:val="0"/>
                <w:lang w:eastAsia="en-GB"/>
                <w14:ligatures w14:val="none"/>
              </w:rPr>
              <w:t xml:space="preserve"> </w:t>
            </w:r>
            <w:r w:rsidRPr="00A97BCA">
              <w:rPr>
                <w:rFonts w:ascii="Calibri" w:eastAsia="Times New Roman" w:hAnsi="Calibri" w:cs="Calibri"/>
                <w:kern w:val="0"/>
                <w:lang w:eastAsia="en-GB"/>
                <w14:ligatures w14:val="none"/>
              </w:rPr>
              <w:t>(Principle 6, Paragraph 6</w:t>
            </w:r>
            <w:r>
              <w:rPr>
                <w:rFonts w:ascii="Calibri" w:eastAsia="Times New Roman" w:hAnsi="Calibri" w:cs="Calibri"/>
                <w:kern w:val="0"/>
                <w:lang w:eastAsia="en-GB"/>
                <w14:ligatures w14:val="none"/>
              </w:rPr>
              <w:t>.1</w:t>
            </w:r>
            <w:r w:rsidRPr="00A97BCA">
              <w:rPr>
                <w:rFonts w:ascii="Calibri" w:eastAsia="Times New Roman" w:hAnsi="Calibri" w:cs="Calibri"/>
                <w:kern w:val="0"/>
                <w:lang w:eastAsia="en-GB"/>
                <w14:ligatures w14:val="none"/>
              </w:rPr>
              <w:t>)</w:t>
            </w:r>
          </w:p>
          <w:p w14:paraId="09FF1ABF" w14:textId="6579836F" w:rsidR="00A97BCA" w:rsidRPr="00A97BCA" w:rsidRDefault="00A97BCA" w:rsidP="00A97BCA">
            <w:pPr>
              <w:textAlignment w:val="baseline"/>
              <w:rPr>
                <w:rFonts w:ascii="Calibri" w:eastAsia="Times New Roman" w:hAnsi="Calibri" w:cs="Calibri"/>
                <w:kern w:val="0"/>
                <w:lang w:eastAsia="en-GB"/>
                <w14:ligatures w14:val="none"/>
              </w:rPr>
            </w:pPr>
            <w:r w:rsidRPr="00A97BCA">
              <w:rPr>
                <w:rFonts w:ascii="Calibri" w:eastAsia="Times New Roman" w:hAnsi="Calibri" w:cs="Calibri"/>
                <w:b/>
                <w:bCs/>
                <w:kern w:val="0"/>
                <w:lang w:eastAsia="en-GB"/>
                <w14:ligatures w14:val="none"/>
              </w:rPr>
              <w:t>Considering climate-related risks in traditional risk categories:</w:t>
            </w:r>
            <w:r w:rsidRPr="00A97BCA">
              <w:rPr>
                <w:rFonts w:ascii="Calibri" w:eastAsia="Times New Roman" w:hAnsi="Calibri" w:cs="Calibri"/>
                <w:kern w:val="0"/>
                <w:lang w:eastAsia="en-GB"/>
                <w14:ligatures w14:val="none"/>
              </w:rPr>
              <w:br/>
              <w:t>As part of their internal capital and liquidity adequacy assessment processes, entities must consider climate-related financial risks that may impact their capital and liquidity positions over relevant time horizons (e.g., through their impact on traditional risk categories).</w:t>
            </w:r>
            <w:r>
              <w:rPr>
                <w:rFonts w:ascii="Calibri" w:eastAsia="Times New Roman" w:hAnsi="Calibri" w:cs="Calibri"/>
                <w:kern w:val="0"/>
                <w:lang w:eastAsia="en-GB"/>
                <w14:ligatures w14:val="none"/>
              </w:rPr>
              <w:t xml:space="preserve"> </w:t>
            </w:r>
            <w:r w:rsidRPr="00A97BCA">
              <w:rPr>
                <w:rFonts w:ascii="Calibri" w:eastAsia="Times New Roman" w:hAnsi="Calibri" w:cs="Calibri"/>
                <w:kern w:val="0"/>
                <w:lang w:eastAsia="en-GB"/>
                <w14:ligatures w14:val="none"/>
              </w:rPr>
              <w:t>(Principle 6, Paragraph 6</w:t>
            </w:r>
            <w:r>
              <w:rPr>
                <w:rFonts w:ascii="Calibri" w:eastAsia="Times New Roman" w:hAnsi="Calibri" w:cs="Calibri"/>
                <w:kern w:val="0"/>
                <w:lang w:eastAsia="en-GB"/>
                <w14:ligatures w14:val="none"/>
              </w:rPr>
              <w:t>.2</w:t>
            </w:r>
            <w:r w:rsidRPr="00A97BCA">
              <w:rPr>
                <w:rFonts w:ascii="Calibri" w:eastAsia="Times New Roman" w:hAnsi="Calibri" w:cs="Calibri"/>
                <w:kern w:val="0"/>
                <w:lang w:eastAsia="en-GB"/>
                <w14:ligatures w14:val="none"/>
              </w:rPr>
              <w:t>)</w:t>
            </w:r>
          </w:p>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937AB3C" w14:textId="69C3ADA4" w:rsidR="00D710E4" w:rsidRPr="00D710E4" w:rsidRDefault="00D710E4" w:rsidP="00D710E4">
            <w:pPr>
              <w:textAlignment w:val="baseline"/>
              <w:rPr>
                <w:rFonts w:ascii="Calibri" w:eastAsia="Times New Roman" w:hAnsi="Calibri" w:cs="Calibri"/>
                <w:kern w:val="0"/>
                <w:lang w:eastAsia="en-GB"/>
                <w14:ligatures w14:val="none"/>
              </w:rPr>
            </w:pPr>
            <w:r w:rsidRPr="00D710E4">
              <w:rPr>
                <w:rFonts w:ascii="Calibri" w:eastAsia="Times New Roman" w:hAnsi="Calibri" w:cs="Calibri"/>
                <w:kern w:val="0"/>
                <w:lang w:eastAsia="en-GB"/>
                <w14:ligatures w14:val="none"/>
              </w:rPr>
              <w:t xml:space="preserve">The </w:t>
            </w:r>
            <w:r>
              <w:rPr>
                <w:rFonts w:ascii="Calibri" w:eastAsia="Times New Roman" w:hAnsi="Calibri" w:cs="Calibri"/>
                <w:kern w:val="0"/>
                <w:lang w:eastAsia="en-GB"/>
                <w14:ligatures w14:val="none"/>
              </w:rPr>
              <w:t>policy tool</w:t>
            </w:r>
            <w:r w:rsidRPr="00D710E4">
              <w:rPr>
                <w:rFonts w:ascii="Calibri" w:eastAsia="Times New Roman" w:hAnsi="Calibri" w:cs="Calibri"/>
                <w:kern w:val="0"/>
                <w:lang w:eastAsia="en-GB"/>
                <w14:ligatures w14:val="none"/>
              </w:rPr>
              <w:t xml:space="preserve"> state that financial firms should use the results of scenario analysis and stress testing as inputs to analysing the adequacy of their existing risk management frameworks, including the design and implementation of actions that mitigate the impact of identified climate-related financial risks. Results of the stress tests should also be considered as part of the internal capital and liquidity adequacy assessment processes.</w:t>
            </w:r>
            <w:r>
              <w:rPr>
                <w:rFonts w:ascii="Calibri" w:eastAsia="Times New Roman" w:hAnsi="Calibri" w:cs="Calibri"/>
                <w:kern w:val="0"/>
                <w:lang w:eastAsia="en-GB"/>
                <w14:ligatures w14:val="none"/>
              </w:rPr>
              <w:t xml:space="preserve"> (Principle 7, Para 7.6)</w:t>
            </w:r>
          </w:p>
          <w:p w14:paraId="7BF79C85" w14:textId="1BE015CB" w:rsidR="00D710E4" w:rsidRPr="00CF2E7C" w:rsidRDefault="00D710E4" w:rsidP="00D710E4">
            <w:pPr>
              <w:textAlignment w:val="baseline"/>
              <w:rPr>
                <w:rFonts w:ascii="Calibri" w:eastAsia="Times New Roman" w:hAnsi="Calibri" w:cs="Calibri"/>
                <w:kern w:val="0"/>
                <w:lang w:eastAsia="en-GB"/>
                <w14:ligatures w14:val="none"/>
              </w:rPr>
            </w:pPr>
            <w:r w:rsidRPr="00D710E4">
              <w:rPr>
                <w:rFonts w:ascii="Calibri" w:eastAsia="Times New Roman" w:hAnsi="Calibri" w:cs="Calibri"/>
                <w:kern w:val="0"/>
                <w:lang w:eastAsia="en-GB"/>
                <w14:ligatures w14:val="none"/>
              </w:rPr>
              <w:br/>
              <w:t>Relevant financial firms are required to incorporate material climate-related financial risks in their internal capital and liquidity adequacy assessment processes. This includes evaluating how climate-related risks could impact liquidity positions and ensuring that liquidity buffers are sufficient to withstand plausible climate-related stress events.</w:t>
            </w:r>
            <w:r>
              <w:rPr>
                <w:rFonts w:ascii="Calibri" w:eastAsia="Times New Roman" w:hAnsi="Calibri" w:cs="Calibri"/>
                <w:kern w:val="0"/>
                <w:lang w:eastAsia="en-GB"/>
                <w14:ligatures w14:val="none"/>
              </w:rPr>
              <w:t xml:space="preserve"> (Principle 6, Para 6)</w:t>
            </w: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commentRangeStart w:id="52"/>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commentRangeEnd w:id="52"/>
            <w:r w:rsidR="009207DA">
              <w:rPr>
                <w:rStyle w:val="CommentReference"/>
              </w:rPr>
              <w:commentReference w:id="52"/>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16157C" w14:textId="77777777" w:rsidR="009F59E9"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Data Gaps and Quality:</w:t>
            </w:r>
            <w:r w:rsidRPr="009F59E9">
              <w:rPr>
                <w:rFonts w:eastAsia="Times New Roman" w:cstheme="minorHAnsi"/>
                <w:kern w:val="0"/>
                <w:lang w:eastAsia="en-GB"/>
                <w14:ligatures w14:val="none"/>
              </w:rPr>
              <w:t xml:space="preserve"> Financial institutions often lack reliable, granular, and forward-looking data on climate-related risks at the counterparty, sector, and geographic level, making it difficult to conduct robust risk assessments and scenario analyses</w:t>
            </w:r>
            <w:r>
              <w:rPr>
                <w:rFonts w:eastAsia="Times New Roman" w:cstheme="minorHAnsi"/>
                <w:kern w:val="0"/>
                <w:lang w:eastAsia="en-GB"/>
                <w14:ligatures w14:val="none"/>
              </w:rPr>
              <w:t>.</w:t>
            </w:r>
          </w:p>
          <w:p w14:paraId="6AB7DD95" w14:textId="25431DAD" w:rsidR="009F59E9" w:rsidRPr="009F59E9"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Scenario Analysis Complexity:</w:t>
            </w:r>
            <w:r w:rsidRPr="009F59E9">
              <w:rPr>
                <w:rFonts w:eastAsia="Times New Roman" w:cstheme="minorHAnsi"/>
                <w:kern w:val="0"/>
                <w:lang w:eastAsia="en-GB"/>
                <w14:ligatures w14:val="none"/>
              </w:rPr>
              <w:t xml:space="preserve"> The development and implementation of climate scenario analysis and stress testing require new methodologies and long-term projections, which are subject to significant uncertainty and may not be readily available or standardised.</w:t>
            </w:r>
          </w:p>
          <w:p w14:paraId="2ABC9FE1" w14:textId="1491862C" w:rsidR="009F59E9" w:rsidRPr="009F59E9"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Integration with Existing Frameworks:</w:t>
            </w:r>
            <w:r w:rsidRPr="009F59E9">
              <w:rPr>
                <w:rFonts w:eastAsia="Times New Roman" w:cstheme="minorHAnsi"/>
                <w:kern w:val="0"/>
                <w:lang w:eastAsia="en-GB"/>
                <w14:ligatures w14:val="none"/>
              </w:rPr>
              <w:t xml:space="preserve"> Incorporating climate-related risks into traditional risk management, governance, and capital/liquidity processes requires significant changes to policies, procedures and systems, which can be resource-intensive and complex.</w:t>
            </w:r>
          </w:p>
          <w:p w14:paraId="214E5328" w14:textId="2C88BB98" w:rsidR="009F59E9" w:rsidRPr="009F59E9"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Materiality and Proportionality Judgement:</w:t>
            </w:r>
            <w:r w:rsidRPr="009F59E9">
              <w:rPr>
                <w:rFonts w:eastAsia="Times New Roman" w:cstheme="minorHAnsi"/>
                <w:kern w:val="0"/>
                <w:lang w:eastAsia="en-GB"/>
                <w14:ligatures w14:val="none"/>
              </w:rPr>
              <w:t xml:space="preserve"> The principles-based, self-assessed approach to materiality and proportionality can lead to inconsistent application and uncertainty about supervisory expectations, especially for smaller or less sophisticated institutions.</w:t>
            </w:r>
          </w:p>
          <w:p w14:paraId="54D8E5E5" w14:textId="0DDD6A98" w:rsidR="009F59E9" w:rsidRPr="009F59E9"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Board and Senior Management Engagement:</w:t>
            </w:r>
            <w:r w:rsidRPr="009F59E9">
              <w:rPr>
                <w:rFonts w:eastAsia="Times New Roman" w:cstheme="minorHAnsi"/>
                <w:kern w:val="0"/>
                <w:lang w:eastAsia="en-GB"/>
                <w14:ligatures w14:val="none"/>
              </w:rPr>
              <w:t xml:space="preserve"> Ensuring that boards and senior management have sufficient expertise and engagement on climate-related risks is critical but may not always be present, potentially undermining effective governance.</w:t>
            </w:r>
          </w:p>
          <w:p w14:paraId="1FF85D28" w14:textId="024F053E" w:rsidR="009F59E9" w:rsidRPr="009F59E9"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Evolving Regulatory Landscape:</w:t>
            </w:r>
            <w:r w:rsidRPr="009F59E9">
              <w:rPr>
                <w:rFonts w:eastAsia="Times New Roman" w:cstheme="minorHAnsi"/>
                <w:kern w:val="0"/>
                <w:lang w:eastAsia="en-GB"/>
                <w14:ligatures w14:val="none"/>
              </w:rPr>
              <w:t xml:space="preserve"> The regulatory environment for climate risk is rapidly evolving, both in the UAE and internationally, creating uncertainty about future requirements and the need for continuous adaptation.</w:t>
            </w:r>
          </w:p>
          <w:p w14:paraId="718D87F5" w14:textId="08D927ED" w:rsidR="00702413" w:rsidRPr="009C4D10" w:rsidRDefault="009F59E9" w:rsidP="009F59E9">
            <w:pPr>
              <w:textAlignment w:val="baseline"/>
              <w:rPr>
                <w:rFonts w:eastAsia="Times New Roman" w:cstheme="minorHAnsi"/>
                <w:kern w:val="0"/>
                <w:lang w:eastAsia="en-GB"/>
                <w14:ligatures w14:val="none"/>
              </w:rPr>
            </w:pPr>
            <w:r w:rsidRPr="009F59E9">
              <w:rPr>
                <w:rFonts w:eastAsia="Times New Roman" w:cstheme="minorHAnsi"/>
                <w:b/>
                <w:bCs/>
                <w:kern w:val="0"/>
                <w:lang w:eastAsia="en-GB"/>
                <w14:ligatures w14:val="none"/>
              </w:rPr>
              <w:t>Resource Constraints:</w:t>
            </w:r>
            <w:r w:rsidRPr="009F59E9">
              <w:rPr>
                <w:rFonts w:eastAsia="Times New Roman" w:cstheme="minorHAnsi"/>
                <w:kern w:val="0"/>
                <w:lang w:eastAsia="en-GB"/>
                <w14:ligatures w14:val="none"/>
              </w:rPr>
              <w:t xml:space="preserve"> Implementing comprehensive climate risk management frameworks requires investment in people, technology, and processes, which may be particularly challenging for smaller institutions.</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07DAD517" w:rsidR="00FE0EA5" w:rsidRPr="009C4D10" w:rsidRDefault="00FE0EA5" w:rsidP="00CF2E7C">
            <w:pPr>
              <w:rPr>
                <w:rFonts w:cstheme="minorHAnsi"/>
              </w:rPr>
            </w:pPr>
            <w:r w:rsidRPr="009C4D10">
              <w:rPr>
                <w:rFonts w:cstheme="minorHAnsi"/>
                <w:lang w:val="en-SG"/>
              </w:rPr>
              <w:t> </w:t>
            </w:r>
            <w:r w:rsidRPr="009C4D10">
              <w:rPr>
                <w:rFonts w:cstheme="minorHAnsi"/>
              </w:rPr>
              <w:t> </w:t>
            </w:r>
            <w:r w:rsidR="009F59E9">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12D7C7D" w:rsidR="00FE0EA5" w:rsidRPr="009C4D10" w:rsidRDefault="00FE0EA5" w:rsidP="00CF2E7C">
            <w:pPr>
              <w:rPr>
                <w:rFonts w:cstheme="minorHAnsi"/>
              </w:rPr>
            </w:pPr>
            <w:r w:rsidRPr="009C4D10">
              <w:rPr>
                <w:rFonts w:cstheme="minorHAnsi"/>
                <w:lang w:val="en-SG"/>
              </w:rPr>
              <w:t> </w:t>
            </w:r>
            <w:r w:rsidRPr="009C4D10">
              <w:rPr>
                <w:rFonts w:cstheme="minorHAnsi"/>
              </w:rPr>
              <w:t> </w:t>
            </w:r>
            <w:r w:rsidR="009F59E9">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0840D797" w:rsidR="00FE0EA5" w:rsidRPr="009C4D10" w:rsidRDefault="00FE0EA5" w:rsidP="00CF2E7C">
            <w:pPr>
              <w:rPr>
                <w:rFonts w:cstheme="minorHAnsi"/>
              </w:rPr>
            </w:pPr>
            <w:r w:rsidRPr="009C4D10">
              <w:rPr>
                <w:rFonts w:cstheme="minorHAnsi"/>
                <w:lang w:val="en-SG"/>
              </w:rPr>
              <w:t> </w:t>
            </w:r>
            <w:r w:rsidRPr="009C4D10">
              <w:rPr>
                <w:rFonts w:cstheme="minorHAnsi"/>
              </w:rPr>
              <w:t> </w:t>
            </w:r>
            <w:r w:rsidR="007573B5">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2DD2BA46" w:rsidR="00FE0EA5" w:rsidRPr="009C4D10" w:rsidRDefault="00FE0EA5" w:rsidP="00CF2E7C">
            <w:pPr>
              <w:rPr>
                <w:rFonts w:cstheme="minorHAnsi"/>
              </w:rPr>
            </w:pPr>
            <w:r w:rsidRPr="009C4D10">
              <w:rPr>
                <w:rFonts w:cstheme="minorHAnsi"/>
                <w:lang w:val="en-SG"/>
              </w:rPr>
              <w:t> </w:t>
            </w:r>
            <w:r w:rsidRPr="009C4D10">
              <w:rPr>
                <w:rFonts w:cstheme="minorHAnsi"/>
              </w:rPr>
              <w:t> </w:t>
            </w:r>
            <w:r w:rsidR="007573B5">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3D309DA" w:rsidR="00FE0EA5" w:rsidRPr="009C4D10" w:rsidRDefault="00FE0EA5" w:rsidP="00CF2E7C">
            <w:pPr>
              <w:rPr>
                <w:rFonts w:cstheme="minorHAnsi"/>
              </w:rPr>
            </w:pPr>
            <w:r w:rsidRPr="009C4D10">
              <w:rPr>
                <w:rFonts w:cstheme="minorHAnsi"/>
                <w:lang w:val="en-SG"/>
              </w:rPr>
              <w:t> </w:t>
            </w:r>
            <w:r w:rsidRPr="009C4D10">
              <w:rPr>
                <w:rFonts w:cstheme="minorHAnsi"/>
              </w:rPr>
              <w:t> </w:t>
            </w:r>
            <w:r w:rsidR="009F59E9">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3A9B6C43" w:rsidR="00FE0EA5" w:rsidRPr="009C4D10" w:rsidRDefault="00FE0EA5" w:rsidP="00CF2E7C">
            <w:pPr>
              <w:rPr>
                <w:rFonts w:cstheme="minorHAnsi"/>
              </w:rPr>
            </w:pPr>
            <w:r w:rsidRPr="009C4D10">
              <w:rPr>
                <w:rFonts w:cstheme="minorHAnsi"/>
              </w:rPr>
              <w:t>  </w:t>
            </w:r>
            <w:r w:rsidR="007573B5">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9506DA" w:rsidR="00FE0EA5" w:rsidRPr="009C4D10" w:rsidRDefault="00FE0EA5" w:rsidP="00CF2E7C">
            <w:pPr>
              <w:rPr>
                <w:rFonts w:cstheme="minorHAnsi"/>
              </w:rPr>
            </w:pPr>
            <w:r w:rsidRPr="009C4D10">
              <w:rPr>
                <w:rFonts w:cstheme="minorHAnsi"/>
                <w:lang w:val="en-SG"/>
              </w:rPr>
              <w:t> </w:t>
            </w:r>
            <w:r w:rsidRPr="009C4D10">
              <w:rPr>
                <w:rFonts w:cstheme="minorHAnsi"/>
              </w:rPr>
              <w:t> </w:t>
            </w:r>
            <w:r w:rsidR="007573B5">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lastRenderedPageBreak/>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BE10D61" w14:textId="77777777" w:rsidR="007573B5" w:rsidRPr="007573B5" w:rsidRDefault="007573B5" w:rsidP="007573B5">
            <w:pPr>
              <w:rPr>
                <w:rFonts w:cstheme="minorHAnsi"/>
              </w:rPr>
            </w:pPr>
            <w:r w:rsidRPr="007573B5">
              <w:rPr>
                <w:rFonts w:cstheme="minorHAnsi"/>
                <w:b/>
                <w:bCs/>
              </w:rPr>
              <w:t>1. Basel Committee on Banking Supervision (BCBS)</w:t>
            </w:r>
          </w:p>
          <w:p w14:paraId="03CB36C1" w14:textId="77777777" w:rsidR="007573B5" w:rsidRPr="007573B5" w:rsidRDefault="007573B5" w:rsidP="007573B5">
            <w:pPr>
              <w:numPr>
                <w:ilvl w:val="0"/>
                <w:numId w:val="49"/>
              </w:numPr>
              <w:rPr>
                <w:rFonts w:cstheme="minorHAnsi"/>
              </w:rPr>
            </w:pPr>
            <w:r w:rsidRPr="007573B5">
              <w:rPr>
                <w:rFonts w:cstheme="minorHAnsi"/>
              </w:rPr>
              <w:t>Principles for the effective management and supervision of climate-related financial risks (June 2022)</w:t>
            </w:r>
            <w:r w:rsidRPr="007573B5">
              <w:rPr>
                <w:rFonts w:cstheme="minorHAnsi"/>
              </w:rPr>
              <w:br/>
            </w:r>
            <w:hyperlink r:id="rId24" w:tgtFrame="_blank" w:history="1">
              <w:r w:rsidRPr="007573B5">
                <w:rPr>
                  <w:rStyle w:val="Hyperlink"/>
                  <w:rFonts w:cstheme="minorHAnsi"/>
                </w:rPr>
                <w:t>Web-archived link</w:t>
              </w:r>
            </w:hyperlink>
          </w:p>
          <w:p w14:paraId="26004EF9" w14:textId="77777777" w:rsidR="007573B5" w:rsidRPr="007573B5" w:rsidRDefault="007573B5" w:rsidP="007573B5">
            <w:pPr>
              <w:numPr>
                <w:ilvl w:val="0"/>
                <w:numId w:val="49"/>
              </w:numPr>
              <w:rPr>
                <w:rFonts w:cstheme="minorHAnsi"/>
              </w:rPr>
            </w:pPr>
            <w:r w:rsidRPr="007573B5">
              <w:rPr>
                <w:rFonts w:cstheme="minorHAnsi"/>
              </w:rPr>
              <w:t>Climate-related financial risks: a survey on current initiatives (April 2020)</w:t>
            </w:r>
            <w:r w:rsidRPr="007573B5">
              <w:rPr>
                <w:rFonts w:cstheme="minorHAnsi"/>
              </w:rPr>
              <w:br/>
            </w:r>
            <w:hyperlink r:id="rId25" w:tgtFrame="_blank" w:history="1">
              <w:r w:rsidRPr="007573B5">
                <w:rPr>
                  <w:rStyle w:val="Hyperlink"/>
                  <w:rFonts w:cstheme="minorHAnsi"/>
                </w:rPr>
                <w:t>Web-archived link</w:t>
              </w:r>
            </w:hyperlink>
          </w:p>
          <w:p w14:paraId="74E27D85" w14:textId="77777777" w:rsidR="007573B5" w:rsidRPr="007573B5" w:rsidRDefault="007573B5" w:rsidP="007573B5">
            <w:pPr>
              <w:numPr>
                <w:ilvl w:val="0"/>
                <w:numId w:val="49"/>
              </w:numPr>
              <w:rPr>
                <w:rFonts w:cstheme="minorHAnsi"/>
              </w:rPr>
            </w:pPr>
            <w:r w:rsidRPr="007573B5">
              <w:rPr>
                <w:rFonts w:cstheme="minorHAnsi"/>
              </w:rPr>
              <w:t>Climate-related financial risks – measurement methodologies (April 2021)</w:t>
            </w:r>
            <w:r w:rsidRPr="007573B5">
              <w:rPr>
                <w:rFonts w:cstheme="minorHAnsi"/>
              </w:rPr>
              <w:br/>
            </w:r>
            <w:hyperlink r:id="rId26" w:tgtFrame="_blank" w:history="1">
              <w:r w:rsidRPr="007573B5">
                <w:rPr>
                  <w:rStyle w:val="Hyperlink"/>
                  <w:rFonts w:cstheme="minorHAnsi"/>
                </w:rPr>
                <w:t>Web-archived link</w:t>
              </w:r>
            </w:hyperlink>
          </w:p>
          <w:p w14:paraId="2FF65A11" w14:textId="77777777" w:rsidR="007573B5" w:rsidRPr="007573B5" w:rsidRDefault="007573B5" w:rsidP="007573B5">
            <w:pPr>
              <w:numPr>
                <w:ilvl w:val="0"/>
                <w:numId w:val="49"/>
              </w:numPr>
              <w:rPr>
                <w:rFonts w:cstheme="minorHAnsi"/>
              </w:rPr>
            </w:pPr>
            <w:r w:rsidRPr="007573B5">
              <w:rPr>
                <w:rFonts w:cstheme="minorHAnsi"/>
              </w:rPr>
              <w:t>Climate-related risk drivers and their transmission channels (April 2021)</w:t>
            </w:r>
            <w:r w:rsidRPr="007573B5">
              <w:rPr>
                <w:rFonts w:cstheme="minorHAnsi"/>
              </w:rPr>
              <w:br/>
            </w:r>
            <w:hyperlink r:id="rId27" w:tgtFrame="_blank" w:history="1">
              <w:r w:rsidRPr="007573B5">
                <w:rPr>
                  <w:rStyle w:val="Hyperlink"/>
                  <w:rFonts w:cstheme="minorHAnsi"/>
                </w:rPr>
                <w:t>Web-archived link</w:t>
              </w:r>
            </w:hyperlink>
          </w:p>
          <w:p w14:paraId="18EA16AB" w14:textId="77777777" w:rsidR="007573B5" w:rsidRPr="007573B5" w:rsidRDefault="007573B5" w:rsidP="007573B5">
            <w:pPr>
              <w:numPr>
                <w:ilvl w:val="0"/>
                <w:numId w:val="49"/>
              </w:numPr>
              <w:rPr>
                <w:rFonts w:cstheme="minorHAnsi"/>
              </w:rPr>
            </w:pPr>
            <w:r w:rsidRPr="007573B5">
              <w:rPr>
                <w:rFonts w:cstheme="minorHAnsi"/>
              </w:rPr>
              <w:t>Frequently asked questions on climate-related financial risks (December 2022)</w:t>
            </w:r>
            <w:r w:rsidRPr="007573B5">
              <w:rPr>
                <w:rFonts w:cstheme="minorHAnsi"/>
              </w:rPr>
              <w:br/>
            </w:r>
            <w:hyperlink r:id="rId28" w:tgtFrame="_blank" w:history="1">
              <w:r w:rsidRPr="007573B5">
                <w:rPr>
                  <w:rStyle w:val="Hyperlink"/>
                  <w:rFonts w:cstheme="minorHAnsi"/>
                </w:rPr>
                <w:t>Web-archived link</w:t>
              </w:r>
            </w:hyperlink>
          </w:p>
          <w:p w14:paraId="22D90037" w14:textId="77777777" w:rsidR="007573B5" w:rsidRDefault="007573B5" w:rsidP="007573B5">
            <w:pPr>
              <w:rPr>
                <w:rFonts w:cstheme="minorHAnsi"/>
                <w:b/>
                <w:bCs/>
              </w:rPr>
            </w:pPr>
          </w:p>
          <w:p w14:paraId="1547C654" w14:textId="168FB9D6" w:rsidR="007573B5" w:rsidRPr="007573B5" w:rsidRDefault="007573B5" w:rsidP="007573B5">
            <w:pPr>
              <w:rPr>
                <w:rFonts w:cstheme="minorHAnsi"/>
              </w:rPr>
            </w:pPr>
            <w:r>
              <w:rPr>
                <w:rFonts w:cstheme="minorHAnsi"/>
                <w:b/>
                <w:bCs/>
              </w:rPr>
              <w:t xml:space="preserve">2. </w:t>
            </w:r>
            <w:r w:rsidRPr="007573B5">
              <w:rPr>
                <w:rFonts w:cstheme="minorHAnsi"/>
                <w:b/>
                <w:bCs/>
              </w:rPr>
              <w:t>Network for Greening the Financial System (NGFS)</w:t>
            </w:r>
          </w:p>
          <w:p w14:paraId="7D9031D8" w14:textId="77777777" w:rsidR="007573B5" w:rsidRPr="007573B5" w:rsidRDefault="007573B5" w:rsidP="007573B5">
            <w:pPr>
              <w:numPr>
                <w:ilvl w:val="0"/>
                <w:numId w:val="50"/>
              </w:numPr>
              <w:rPr>
                <w:rFonts w:cstheme="minorHAnsi"/>
              </w:rPr>
            </w:pPr>
            <w:r w:rsidRPr="007573B5">
              <w:rPr>
                <w:rFonts w:cstheme="minorHAnsi"/>
              </w:rPr>
              <w:t>Guide for Supervisors: Integrating climate-related and environmental risks into prudential supervision (May 2020)</w:t>
            </w:r>
            <w:r w:rsidRPr="007573B5">
              <w:rPr>
                <w:rFonts w:cstheme="minorHAnsi"/>
              </w:rPr>
              <w:br/>
            </w:r>
            <w:hyperlink r:id="rId29" w:tgtFrame="_blank" w:history="1">
              <w:r w:rsidRPr="007573B5">
                <w:rPr>
                  <w:rStyle w:val="Hyperlink"/>
                  <w:rFonts w:cstheme="minorHAnsi"/>
                </w:rPr>
                <w:t>Web-archived link</w:t>
              </w:r>
            </w:hyperlink>
          </w:p>
          <w:p w14:paraId="1FD5278D" w14:textId="77777777" w:rsidR="007573B5" w:rsidRPr="007573B5" w:rsidRDefault="007573B5" w:rsidP="007573B5">
            <w:pPr>
              <w:numPr>
                <w:ilvl w:val="0"/>
                <w:numId w:val="50"/>
              </w:numPr>
              <w:rPr>
                <w:rFonts w:cstheme="minorHAnsi"/>
              </w:rPr>
            </w:pPr>
            <w:r w:rsidRPr="007573B5">
              <w:rPr>
                <w:rFonts w:cstheme="minorHAnsi"/>
              </w:rPr>
              <w:t>NGFS Climate Scenarios (2022)</w:t>
            </w:r>
            <w:r w:rsidRPr="007573B5">
              <w:rPr>
                <w:rFonts w:cstheme="minorHAnsi"/>
              </w:rPr>
              <w:br/>
            </w:r>
            <w:hyperlink r:id="rId30" w:tgtFrame="_blank" w:history="1">
              <w:r w:rsidRPr="007573B5">
                <w:rPr>
                  <w:rStyle w:val="Hyperlink"/>
                  <w:rFonts w:cstheme="minorHAnsi"/>
                </w:rPr>
                <w:t>Web-archived link</w:t>
              </w:r>
            </w:hyperlink>
          </w:p>
          <w:p w14:paraId="4F5B1E45" w14:textId="22B17B08" w:rsidR="007573B5" w:rsidRPr="007573B5" w:rsidRDefault="007573B5" w:rsidP="007573B5">
            <w:pPr>
              <w:rPr>
                <w:rFonts w:cstheme="minorHAnsi"/>
              </w:rPr>
            </w:pPr>
          </w:p>
          <w:p w14:paraId="75A512EE" w14:textId="77777777" w:rsidR="007573B5" w:rsidRPr="007573B5" w:rsidRDefault="007573B5" w:rsidP="007573B5">
            <w:pPr>
              <w:rPr>
                <w:rFonts w:cstheme="minorHAnsi"/>
              </w:rPr>
            </w:pPr>
            <w:r w:rsidRPr="007573B5">
              <w:rPr>
                <w:rFonts w:cstheme="minorHAnsi"/>
                <w:b/>
                <w:bCs/>
              </w:rPr>
              <w:t>3. Financial Stability Board (FSB)</w:t>
            </w:r>
          </w:p>
          <w:p w14:paraId="58D43ACE" w14:textId="77777777" w:rsidR="007573B5" w:rsidRPr="007573B5" w:rsidRDefault="007573B5" w:rsidP="007573B5">
            <w:pPr>
              <w:numPr>
                <w:ilvl w:val="0"/>
                <w:numId w:val="51"/>
              </w:numPr>
              <w:rPr>
                <w:rFonts w:cstheme="minorHAnsi"/>
              </w:rPr>
            </w:pPr>
            <w:r w:rsidRPr="007573B5">
              <w:rPr>
                <w:rFonts w:cstheme="minorHAnsi"/>
              </w:rPr>
              <w:t>Supervisory and Regulatory Approaches to Climate-related Risks (October 2022)</w:t>
            </w:r>
          </w:p>
          <w:p w14:paraId="60E0E4E6" w14:textId="77777777" w:rsidR="007573B5" w:rsidRPr="007573B5" w:rsidRDefault="007573B5" w:rsidP="007573B5">
            <w:pPr>
              <w:rPr>
                <w:rFonts w:cstheme="minorHAnsi"/>
              </w:rPr>
            </w:pPr>
            <w:hyperlink r:id="rId31" w:tgtFrame="_blank" w:history="1">
              <w:r w:rsidRPr="007573B5">
                <w:rPr>
                  <w:rStyle w:val="Hyperlink"/>
                  <w:rFonts w:cstheme="minorHAnsi"/>
                </w:rPr>
                <w:t>Web-archived link</w:t>
              </w:r>
            </w:hyperlink>
          </w:p>
          <w:p w14:paraId="2EBA3342" w14:textId="77D0DCBF" w:rsidR="007573B5" w:rsidRPr="007573B5" w:rsidRDefault="007573B5" w:rsidP="007573B5">
            <w:pPr>
              <w:rPr>
                <w:rFonts w:cstheme="minorHAnsi"/>
              </w:rPr>
            </w:pPr>
          </w:p>
          <w:p w14:paraId="384D2D70" w14:textId="77777777" w:rsidR="007573B5" w:rsidRPr="007573B5" w:rsidRDefault="007573B5" w:rsidP="007573B5">
            <w:pPr>
              <w:rPr>
                <w:rFonts w:cstheme="minorHAnsi"/>
              </w:rPr>
            </w:pPr>
            <w:r w:rsidRPr="007573B5">
              <w:rPr>
                <w:rFonts w:cstheme="minorHAnsi"/>
                <w:b/>
                <w:bCs/>
              </w:rPr>
              <w:t>4. Task Force on Climate-related Financial Disclosures (TCFD)</w:t>
            </w:r>
          </w:p>
          <w:p w14:paraId="03D4FFF4" w14:textId="77777777" w:rsidR="007573B5" w:rsidRPr="007573B5" w:rsidRDefault="007573B5" w:rsidP="007573B5">
            <w:pPr>
              <w:numPr>
                <w:ilvl w:val="0"/>
                <w:numId w:val="52"/>
              </w:numPr>
              <w:rPr>
                <w:rFonts w:cstheme="minorHAnsi"/>
              </w:rPr>
            </w:pPr>
            <w:r w:rsidRPr="007573B5">
              <w:rPr>
                <w:rFonts w:cstheme="minorHAnsi"/>
              </w:rPr>
              <w:t>Final Report: Recommendations of the Task Force on Climate-related Financial Disclosures (June 2017)</w:t>
            </w:r>
          </w:p>
          <w:p w14:paraId="1D6BD416" w14:textId="77777777" w:rsidR="007573B5" w:rsidRPr="007573B5" w:rsidRDefault="007573B5" w:rsidP="007573B5">
            <w:pPr>
              <w:rPr>
                <w:rFonts w:cstheme="minorHAnsi"/>
              </w:rPr>
            </w:pPr>
            <w:hyperlink r:id="rId32" w:tgtFrame="_blank" w:history="1">
              <w:r w:rsidRPr="007573B5">
                <w:rPr>
                  <w:rStyle w:val="Hyperlink"/>
                  <w:rFonts w:cstheme="minorHAnsi"/>
                </w:rPr>
                <w:t>Web-archived link</w:t>
              </w:r>
            </w:hyperlink>
          </w:p>
          <w:p w14:paraId="4CB41C6B" w14:textId="35898570" w:rsidR="007573B5" w:rsidRPr="007573B5" w:rsidRDefault="007573B5" w:rsidP="007573B5">
            <w:pPr>
              <w:rPr>
                <w:rFonts w:cstheme="minorHAnsi"/>
              </w:rPr>
            </w:pPr>
          </w:p>
          <w:p w14:paraId="34B31933" w14:textId="77777777" w:rsidR="007573B5" w:rsidRPr="007573B5" w:rsidRDefault="007573B5" w:rsidP="007573B5">
            <w:pPr>
              <w:rPr>
                <w:rFonts w:cstheme="minorHAnsi"/>
              </w:rPr>
            </w:pPr>
            <w:r w:rsidRPr="007573B5">
              <w:rPr>
                <w:rFonts w:cstheme="minorHAnsi"/>
                <w:b/>
                <w:bCs/>
              </w:rPr>
              <w:t>5. International Association of Insurance Supervisors (IAIS)</w:t>
            </w:r>
          </w:p>
          <w:p w14:paraId="55DA9BAF" w14:textId="77777777" w:rsidR="007573B5" w:rsidRPr="007573B5" w:rsidRDefault="007573B5" w:rsidP="007573B5">
            <w:pPr>
              <w:numPr>
                <w:ilvl w:val="0"/>
                <w:numId w:val="53"/>
              </w:numPr>
              <w:rPr>
                <w:rFonts w:cstheme="minorHAnsi"/>
              </w:rPr>
            </w:pPr>
            <w:r w:rsidRPr="007573B5">
              <w:rPr>
                <w:rFonts w:cstheme="minorHAnsi"/>
              </w:rPr>
              <w:t>Application Paper on the Supervision of Climate-related Risks in the Insurance Sector (May 2021)</w:t>
            </w:r>
          </w:p>
          <w:p w14:paraId="7478C0BE" w14:textId="79E9FDAB" w:rsidR="00C01AF9" w:rsidRPr="009C4D10" w:rsidRDefault="007573B5" w:rsidP="007573B5">
            <w:pPr>
              <w:rPr>
                <w:rFonts w:cstheme="minorHAnsi"/>
              </w:rPr>
            </w:pPr>
            <w:hyperlink r:id="rId33" w:tgtFrame="_blank" w:history="1">
              <w:r w:rsidRPr="007573B5">
                <w:rPr>
                  <w:rStyle w:val="Hyperlink"/>
                  <w:rFonts w:cstheme="minorHAnsi"/>
                </w:rPr>
                <w:t>Web-archived link</w:t>
              </w:r>
            </w:hyperlink>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B188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4"/>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52" w:author="Dentons" w:date="2025-07-27T17:06:00Z" w:initials="Dentons">
    <w:p w14:paraId="6D63D915" w14:textId="77777777" w:rsidR="009207DA" w:rsidRDefault="009207DA" w:rsidP="009207DA">
      <w:pPr>
        <w:pStyle w:val="CommentText"/>
      </w:pPr>
      <w:r>
        <w:rPr>
          <w:rStyle w:val="CommentReference"/>
        </w:rPr>
        <w:annotationRef/>
      </w:r>
      <w:r>
        <w:t>Consider this further</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6D63D91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932E19C" w16cex:dateUtc="2025-07-27T13:0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6D63D915" w16cid:durableId="2932E19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1029815" w14:textId="77777777" w:rsidR="0083211F" w:rsidRDefault="0083211F" w:rsidP="00874E39">
      <w:r>
        <w:separator/>
      </w:r>
    </w:p>
  </w:endnote>
  <w:endnote w:type="continuationSeparator" w:id="0">
    <w:p w14:paraId="1B5A9BAB" w14:textId="77777777" w:rsidR="0083211F" w:rsidRDefault="0083211F" w:rsidP="00874E39">
      <w:r>
        <w:continuationSeparator/>
      </w:r>
    </w:p>
  </w:endnote>
  <w:endnote w:type="continuationNotice" w:id="1">
    <w:p w14:paraId="2C8A1288" w14:textId="77777777" w:rsidR="0083211F" w:rsidRDefault="0083211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7E70DA5" w14:textId="77777777" w:rsidR="0083211F" w:rsidRDefault="0083211F" w:rsidP="00874E39">
      <w:r>
        <w:separator/>
      </w:r>
    </w:p>
  </w:footnote>
  <w:footnote w:type="continuationSeparator" w:id="0">
    <w:p w14:paraId="6A4BC7CE" w14:textId="77777777" w:rsidR="0083211F" w:rsidRDefault="0083211F" w:rsidP="00874E39">
      <w:r>
        <w:continuationSeparator/>
      </w:r>
    </w:p>
  </w:footnote>
  <w:footnote w:type="continuationNotice" w:id="1">
    <w:p w14:paraId="5B6BEB5C" w14:textId="77777777" w:rsidR="0083211F" w:rsidRDefault="0083211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4734E28"/>
    <w:multiLevelType w:val="multilevel"/>
    <w:tmpl w:val="4B961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904645F"/>
    <w:multiLevelType w:val="multilevel"/>
    <w:tmpl w:val="B1081C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9E07FD"/>
    <w:multiLevelType w:val="multilevel"/>
    <w:tmpl w:val="5AA84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25B5CCB"/>
    <w:multiLevelType w:val="multilevel"/>
    <w:tmpl w:val="2ADEC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1"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2" w15:restartNumberingAfterBreak="0">
    <w:nsid w:val="7F040A96"/>
    <w:multiLevelType w:val="multilevel"/>
    <w:tmpl w:val="AF48DC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51"/>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5"/>
  </w:num>
  <w:num w:numId="21" w16cid:durableId="184827816">
    <w:abstractNumId w:val="28"/>
  </w:num>
  <w:num w:numId="22" w16cid:durableId="1785346599">
    <w:abstractNumId w:val="35"/>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50"/>
  </w:num>
  <w:num w:numId="47" w16cid:durableId="342588554">
    <w:abstractNumId w:val="26"/>
  </w:num>
  <w:num w:numId="48" w16cid:durableId="318391343">
    <w:abstractNumId w:val="38"/>
  </w:num>
  <w:num w:numId="49" w16cid:durableId="920720346">
    <w:abstractNumId w:val="17"/>
  </w:num>
  <w:num w:numId="50" w16cid:durableId="15277045">
    <w:abstractNumId w:val="52"/>
  </w:num>
  <w:num w:numId="51" w16cid:durableId="294024479">
    <w:abstractNumId w:val="29"/>
  </w:num>
  <w:num w:numId="52" w16cid:durableId="1900094428">
    <w:abstractNumId w:val="45"/>
  </w:num>
  <w:num w:numId="53" w16cid:durableId="1910730923">
    <w:abstractNumId w:val="49"/>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entons">
    <w15:presenceInfo w15:providerId="None" w15:userId="Denton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0E9"/>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2925"/>
    <w:rsid w:val="000D3A0E"/>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B9E"/>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392"/>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464"/>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D50"/>
    <w:rsid w:val="002A6274"/>
    <w:rsid w:val="002A6707"/>
    <w:rsid w:val="002B1491"/>
    <w:rsid w:val="002B1E50"/>
    <w:rsid w:val="002B229D"/>
    <w:rsid w:val="002B255F"/>
    <w:rsid w:val="002B272B"/>
    <w:rsid w:val="002B3098"/>
    <w:rsid w:val="002B4149"/>
    <w:rsid w:val="002B44BA"/>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D7FEE"/>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2F19"/>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67BCF"/>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901"/>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3FB4"/>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29B1"/>
    <w:rsid w:val="004D3416"/>
    <w:rsid w:val="004D5810"/>
    <w:rsid w:val="004D6484"/>
    <w:rsid w:val="004D7C53"/>
    <w:rsid w:val="004E4F56"/>
    <w:rsid w:val="004E51B5"/>
    <w:rsid w:val="004F0C55"/>
    <w:rsid w:val="004F276F"/>
    <w:rsid w:val="004F3263"/>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365A"/>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3CF"/>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159"/>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2269"/>
    <w:rsid w:val="006736BC"/>
    <w:rsid w:val="00673AD4"/>
    <w:rsid w:val="006746D5"/>
    <w:rsid w:val="0067532A"/>
    <w:rsid w:val="00675752"/>
    <w:rsid w:val="00676C9F"/>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3B5"/>
    <w:rsid w:val="00757A55"/>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6D"/>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3A4C"/>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1CF0"/>
    <w:rsid w:val="00822032"/>
    <w:rsid w:val="008247E4"/>
    <w:rsid w:val="0082488A"/>
    <w:rsid w:val="00825EE3"/>
    <w:rsid w:val="0082674B"/>
    <w:rsid w:val="008273C0"/>
    <w:rsid w:val="008279D8"/>
    <w:rsid w:val="00831667"/>
    <w:rsid w:val="008318AE"/>
    <w:rsid w:val="00831C3E"/>
    <w:rsid w:val="0083211F"/>
    <w:rsid w:val="008331E9"/>
    <w:rsid w:val="00833B6E"/>
    <w:rsid w:val="00833F13"/>
    <w:rsid w:val="00833FB6"/>
    <w:rsid w:val="00834370"/>
    <w:rsid w:val="008354C6"/>
    <w:rsid w:val="00835A06"/>
    <w:rsid w:val="00836174"/>
    <w:rsid w:val="00836AFC"/>
    <w:rsid w:val="008377D4"/>
    <w:rsid w:val="00840208"/>
    <w:rsid w:val="00840847"/>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07DA"/>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59E9"/>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23E2"/>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BCA"/>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6666"/>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5CA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92F"/>
    <w:rsid w:val="00C1090B"/>
    <w:rsid w:val="00C10DD0"/>
    <w:rsid w:val="00C13017"/>
    <w:rsid w:val="00C13FBE"/>
    <w:rsid w:val="00C141CA"/>
    <w:rsid w:val="00C149A3"/>
    <w:rsid w:val="00C16C64"/>
    <w:rsid w:val="00C173CD"/>
    <w:rsid w:val="00C20109"/>
    <w:rsid w:val="00C20FC8"/>
    <w:rsid w:val="00C225F1"/>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D97"/>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188F"/>
    <w:rsid w:val="00CB3E5E"/>
    <w:rsid w:val="00CB4EBD"/>
    <w:rsid w:val="00CB6338"/>
    <w:rsid w:val="00CB76AA"/>
    <w:rsid w:val="00CB790E"/>
    <w:rsid w:val="00CB7963"/>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3FC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0E4"/>
    <w:rsid w:val="00D7554F"/>
    <w:rsid w:val="00D765DD"/>
    <w:rsid w:val="00D76854"/>
    <w:rsid w:val="00D80C46"/>
    <w:rsid w:val="00D818DF"/>
    <w:rsid w:val="00D825A8"/>
    <w:rsid w:val="00D83201"/>
    <w:rsid w:val="00D8337E"/>
    <w:rsid w:val="00D8345D"/>
    <w:rsid w:val="00D87651"/>
    <w:rsid w:val="00D900BA"/>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2B1F"/>
    <w:rsid w:val="00DD3144"/>
    <w:rsid w:val="00DD35ED"/>
    <w:rsid w:val="00DD3B33"/>
    <w:rsid w:val="00DD4AEB"/>
    <w:rsid w:val="00DD694D"/>
    <w:rsid w:val="00DD72BD"/>
    <w:rsid w:val="00DD761B"/>
    <w:rsid w:val="00DE0079"/>
    <w:rsid w:val="00DE0517"/>
    <w:rsid w:val="00DE11DA"/>
    <w:rsid w:val="00DE3BA2"/>
    <w:rsid w:val="00DE3DC0"/>
    <w:rsid w:val="00DE74FE"/>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29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5A66"/>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30B"/>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A1E"/>
    <w:rsid w:val="00EB2E05"/>
    <w:rsid w:val="00EB348F"/>
    <w:rsid w:val="00EB39B5"/>
    <w:rsid w:val="00EB3E15"/>
    <w:rsid w:val="00EB55BA"/>
    <w:rsid w:val="00EB7AF0"/>
    <w:rsid w:val="00EB7FED"/>
    <w:rsid w:val="00EC0583"/>
    <w:rsid w:val="00EC0612"/>
    <w:rsid w:val="00EC079D"/>
    <w:rsid w:val="00EC0AB2"/>
    <w:rsid w:val="00EC1760"/>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7A28"/>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A9F"/>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D677B"/>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4962"/>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661764">
      <w:bodyDiv w:val="1"/>
      <w:marLeft w:val="0"/>
      <w:marRight w:val="0"/>
      <w:marTop w:val="0"/>
      <w:marBottom w:val="0"/>
      <w:divBdr>
        <w:top w:val="none" w:sz="0" w:space="0" w:color="auto"/>
        <w:left w:val="none" w:sz="0" w:space="0" w:color="auto"/>
        <w:bottom w:val="none" w:sz="0" w:space="0" w:color="auto"/>
        <w:right w:val="none" w:sz="0" w:space="0" w:color="auto"/>
      </w:divBdr>
    </w:div>
    <w:div w:id="113377739">
      <w:bodyDiv w:val="1"/>
      <w:marLeft w:val="0"/>
      <w:marRight w:val="0"/>
      <w:marTop w:val="0"/>
      <w:marBottom w:val="0"/>
      <w:divBdr>
        <w:top w:val="none" w:sz="0" w:space="0" w:color="auto"/>
        <w:left w:val="none" w:sz="0" w:space="0" w:color="auto"/>
        <w:bottom w:val="none" w:sz="0" w:space="0" w:color="auto"/>
        <w:right w:val="none" w:sz="0" w:space="0" w:color="auto"/>
      </w:divBdr>
    </w:div>
    <w:div w:id="151678159">
      <w:bodyDiv w:val="1"/>
      <w:marLeft w:val="0"/>
      <w:marRight w:val="0"/>
      <w:marTop w:val="0"/>
      <w:marBottom w:val="0"/>
      <w:divBdr>
        <w:top w:val="none" w:sz="0" w:space="0" w:color="auto"/>
        <w:left w:val="none" w:sz="0" w:space="0" w:color="auto"/>
        <w:bottom w:val="none" w:sz="0" w:space="0" w:color="auto"/>
        <w:right w:val="none" w:sz="0" w:space="0" w:color="auto"/>
      </w:divBdr>
    </w:div>
    <w:div w:id="169874786">
      <w:bodyDiv w:val="1"/>
      <w:marLeft w:val="0"/>
      <w:marRight w:val="0"/>
      <w:marTop w:val="0"/>
      <w:marBottom w:val="0"/>
      <w:divBdr>
        <w:top w:val="none" w:sz="0" w:space="0" w:color="auto"/>
        <w:left w:val="none" w:sz="0" w:space="0" w:color="auto"/>
        <w:bottom w:val="none" w:sz="0" w:space="0" w:color="auto"/>
        <w:right w:val="none" w:sz="0" w:space="0" w:color="auto"/>
      </w:divBdr>
    </w:div>
    <w:div w:id="210119568">
      <w:bodyDiv w:val="1"/>
      <w:marLeft w:val="0"/>
      <w:marRight w:val="0"/>
      <w:marTop w:val="0"/>
      <w:marBottom w:val="0"/>
      <w:divBdr>
        <w:top w:val="none" w:sz="0" w:space="0" w:color="auto"/>
        <w:left w:val="none" w:sz="0" w:space="0" w:color="auto"/>
        <w:bottom w:val="none" w:sz="0" w:space="0" w:color="auto"/>
        <w:right w:val="none" w:sz="0" w:space="0" w:color="auto"/>
      </w:divBdr>
    </w:div>
    <w:div w:id="236940052">
      <w:bodyDiv w:val="1"/>
      <w:marLeft w:val="0"/>
      <w:marRight w:val="0"/>
      <w:marTop w:val="0"/>
      <w:marBottom w:val="0"/>
      <w:divBdr>
        <w:top w:val="none" w:sz="0" w:space="0" w:color="auto"/>
        <w:left w:val="none" w:sz="0" w:space="0" w:color="auto"/>
        <w:bottom w:val="none" w:sz="0" w:space="0" w:color="auto"/>
        <w:right w:val="none" w:sz="0" w:space="0" w:color="auto"/>
      </w:divBdr>
    </w:div>
    <w:div w:id="271403127">
      <w:bodyDiv w:val="1"/>
      <w:marLeft w:val="0"/>
      <w:marRight w:val="0"/>
      <w:marTop w:val="0"/>
      <w:marBottom w:val="0"/>
      <w:divBdr>
        <w:top w:val="none" w:sz="0" w:space="0" w:color="auto"/>
        <w:left w:val="none" w:sz="0" w:space="0" w:color="auto"/>
        <w:bottom w:val="none" w:sz="0" w:space="0" w:color="auto"/>
        <w:right w:val="none" w:sz="0" w:space="0" w:color="auto"/>
      </w:divBdr>
    </w:div>
    <w:div w:id="287662668">
      <w:bodyDiv w:val="1"/>
      <w:marLeft w:val="0"/>
      <w:marRight w:val="0"/>
      <w:marTop w:val="0"/>
      <w:marBottom w:val="0"/>
      <w:divBdr>
        <w:top w:val="none" w:sz="0" w:space="0" w:color="auto"/>
        <w:left w:val="none" w:sz="0" w:space="0" w:color="auto"/>
        <w:bottom w:val="none" w:sz="0" w:space="0" w:color="auto"/>
        <w:right w:val="none" w:sz="0" w:space="0" w:color="auto"/>
      </w:divBdr>
    </w:div>
    <w:div w:id="325328347">
      <w:bodyDiv w:val="1"/>
      <w:marLeft w:val="0"/>
      <w:marRight w:val="0"/>
      <w:marTop w:val="0"/>
      <w:marBottom w:val="0"/>
      <w:divBdr>
        <w:top w:val="none" w:sz="0" w:space="0" w:color="auto"/>
        <w:left w:val="none" w:sz="0" w:space="0" w:color="auto"/>
        <w:bottom w:val="none" w:sz="0" w:space="0" w:color="auto"/>
        <w:right w:val="none" w:sz="0" w:space="0" w:color="auto"/>
      </w:divBdr>
    </w:div>
    <w:div w:id="329797608">
      <w:bodyDiv w:val="1"/>
      <w:marLeft w:val="0"/>
      <w:marRight w:val="0"/>
      <w:marTop w:val="0"/>
      <w:marBottom w:val="0"/>
      <w:divBdr>
        <w:top w:val="none" w:sz="0" w:space="0" w:color="auto"/>
        <w:left w:val="none" w:sz="0" w:space="0" w:color="auto"/>
        <w:bottom w:val="none" w:sz="0" w:space="0" w:color="auto"/>
        <w:right w:val="none" w:sz="0" w:space="0" w:color="auto"/>
      </w:divBdr>
    </w:div>
    <w:div w:id="360710570">
      <w:bodyDiv w:val="1"/>
      <w:marLeft w:val="0"/>
      <w:marRight w:val="0"/>
      <w:marTop w:val="0"/>
      <w:marBottom w:val="0"/>
      <w:divBdr>
        <w:top w:val="none" w:sz="0" w:space="0" w:color="auto"/>
        <w:left w:val="none" w:sz="0" w:space="0" w:color="auto"/>
        <w:bottom w:val="none" w:sz="0" w:space="0" w:color="auto"/>
        <w:right w:val="none" w:sz="0" w:space="0" w:color="auto"/>
      </w:divBdr>
    </w:div>
    <w:div w:id="383598587">
      <w:bodyDiv w:val="1"/>
      <w:marLeft w:val="0"/>
      <w:marRight w:val="0"/>
      <w:marTop w:val="0"/>
      <w:marBottom w:val="0"/>
      <w:divBdr>
        <w:top w:val="none" w:sz="0" w:space="0" w:color="auto"/>
        <w:left w:val="none" w:sz="0" w:space="0" w:color="auto"/>
        <w:bottom w:val="none" w:sz="0" w:space="0" w:color="auto"/>
        <w:right w:val="none" w:sz="0" w:space="0" w:color="auto"/>
      </w:divBdr>
    </w:div>
    <w:div w:id="393816872">
      <w:bodyDiv w:val="1"/>
      <w:marLeft w:val="0"/>
      <w:marRight w:val="0"/>
      <w:marTop w:val="0"/>
      <w:marBottom w:val="0"/>
      <w:divBdr>
        <w:top w:val="none" w:sz="0" w:space="0" w:color="auto"/>
        <w:left w:val="none" w:sz="0" w:space="0" w:color="auto"/>
        <w:bottom w:val="none" w:sz="0" w:space="0" w:color="auto"/>
        <w:right w:val="none" w:sz="0" w:space="0" w:color="auto"/>
      </w:divBdr>
    </w:div>
    <w:div w:id="394160877">
      <w:bodyDiv w:val="1"/>
      <w:marLeft w:val="0"/>
      <w:marRight w:val="0"/>
      <w:marTop w:val="0"/>
      <w:marBottom w:val="0"/>
      <w:divBdr>
        <w:top w:val="none" w:sz="0" w:space="0" w:color="auto"/>
        <w:left w:val="none" w:sz="0" w:space="0" w:color="auto"/>
        <w:bottom w:val="none" w:sz="0" w:space="0" w:color="auto"/>
        <w:right w:val="none" w:sz="0" w:space="0" w:color="auto"/>
      </w:divBdr>
    </w:div>
    <w:div w:id="402483669">
      <w:bodyDiv w:val="1"/>
      <w:marLeft w:val="0"/>
      <w:marRight w:val="0"/>
      <w:marTop w:val="0"/>
      <w:marBottom w:val="0"/>
      <w:divBdr>
        <w:top w:val="none" w:sz="0" w:space="0" w:color="auto"/>
        <w:left w:val="none" w:sz="0" w:space="0" w:color="auto"/>
        <w:bottom w:val="none" w:sz="0" w:space="0" w:color="auto"/>
        <w:right w:val="none" w:sz="0" w:space="0" w:color="auto"/>
      </w:divBdr>
    </w:div>
    <w:div w:id="404186020">
      <w:bodyDiv w:val="1"/>
      <w:marLeft w:val="0"/>
      <w:marRight w:val="0"/>
      <w:marTop w:val="0"/>
      <w:marBottom w:val="0"/>
      <w:divBdr>
        <w:top w:val="none" w:sz="0" w:space="0" w:color="auto"/>
        <w:left w:val="none" w:sz="0" w:space="0" w:color="auto"/>
        <w:bottom w:val="none" w:sz="0" w:space="0" w:color="auto"/>
        <w:right w:val="none" w:sz="0" w:space="0" w:color="auto"/>
      </w:divBdr>
    </w:div>
    <w:div w:id="414937094">
      <w:bodyDiv w:val="1"/>
      <w:marLeft w:val="0"/>
      <w:marRight w:val="0"/>
      <w:marTop w:val="0"/>
      <w:marBottom w:val="0"/>
      <w:divBdr>
        <w:top w:val="none" w:sz="0" w:space="0" w:color="auto"/>
        <w:left w:val="none" w:sz="0" w:space="0" w:color="auto"/>
        <w:bottom w:val="none" w:sz="0" w:space="0" w:color="auto"/>
        <w:right w:val="none" w:sz="0" w:space="0" w:color="auto"/>
      </w:divBdr>
    </w:div>
    <w:div w:id="421534811">
      <w:bodyDiv w:val="1"/>
      <w:marLeft w:val="0"/>
      <w:marRight w:val="0"/>
      <w:marTop w:val="0"/>
      <w:marBottom w:val="0"/>
      <w:divBdr>
        <w:top w:val="none" w:sz="0" w:space="0" w:color="auto"/>
        <w:left w:val="none" w:sz="0" w:space="0" w:color="auto"/>
        <w:bottom w:val="none" w:sz="0" w:space="0" w:color="auto"/>
        <w:right w:val="none" w:sz="0" w:space="0" w:color="auto"/>
      </w:divBdr>
    </w:div>
    <w:div w:id="435291101">
      <w:bodyDiv w:val="1"/>
      <w:marLeft w:val="0"/>
      <w:marRight w:val="0"/>
      <w:marTop w:val="0"/>
      <w:marBottom w:val="0"/>
      <w:divBdr>
        <w:top w:val="none" w:sz="0" w:space="0" w:color="auto"/>
        <w:left w:val="none" w:sz="0" w:space="0" w:color="auto"/>
        <w:bottom w:val="none" w:sz="0" w:space="0" w:color="auto"/>
        <w:right w:val="none" w:sz="0" w:space="0" w:color="auto"/>
      </w:divBdr>
    </w:div>
    <w:div w:id="449783597">
      <w:bodyDiv w:val="1"/>
      <w:marLeft w:val="0"/>
      <w:marRight w:val="0"/>
      <w:marTop w:val="0"/>
      <w:marBottom w:val="0"/>
      <w:divBdr>
        <w:top w:val="none" w:sz="0" w:space="0" w:color="auto"/>
        <w:left w:val="none" w:sz="0" w:space="0" w:color="auto"/>
        <w:bottom w:val="none" w:sz="0" w:space="0" w:color="auto"/>
        <w:right w:val="none" w:sz="0" w:space="0" w:color="auto"/>
      </w:divBdr>
    </w:div>
    <w:div w:id="465389491">
      <w:bodyDiv w:val="1"/>
      <w:marLeft w:val="0"/>
      <w:marRight w:val="0"/>
      <w:marTop w:val="0"/>
      <w:marBottom w:val="0"/>
      <w:divBdr>
        <w:top w:val="none" w:sz="0" w:space="0" w:color="auto"/>
        <w:left w:val="none" w:sz="0" w:space="0" w:color="auto"/>
        <w:bottom w:val="none" w:sz="0" w:space="0" w:color="auto"/>
        <w:right w:val="none" w:sz="0" w:space="0" w:color="auto"/>
      </w:divBdr>
    </w:div>
    <w:div w:id="465468521">
      <w:bodyDiv w:val="1"/>
      <w:marLeft w:val="0"/>
      <w:marRight w:val="0"/>
      <w:marTop w:val="0"/>
      <w:marBottom w:val="0"/>
      <w:divBdr>
        <w:top w:val="none" w:sz="0" w:space="0" w:color="auto"/>
        <w:left w:val="none" w:sz="0" w:space="0" w:color="auto"/>
        <w:bottom w:val="none" w:sz="0" w:space="0" w:color="auto"/>
        <w:right w:val="none" w:sz="0" w:space="0" w:color="auto"/>
      </w:divBdr>
    </w:div>
    <w:div w:id="51905047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489040">
      <w:bodyDiv w:val="1"/>
      <w:marLeft w:val="0"/>
      <w:marRight w:val="0"/>
      <w:marTop w:val="0"/>
      <w:marBottom w:val="0"/>
      <w:divBdr>
        <w:top w:val="none" w:sz="0" w:space="0" w:color="auto"/>
        <w:left w:val="none" w:sz="0" w:space="0" w:color="auto"/>
        <w:bottom w:val="none" w:sz="0" w:space="0" w:color="auto"/>
        <w:right w:val="none" w:sz="0" w:space="0" w:color="auto"/>
      </w:divBdr>
    </w:div>
    <w:div w:id="579172544">
      <w:bodyDiv w:val="1"/>
      <w:marLeft w:val="0"/>
      <w:marRight w:val="0"/>
      <w:marTop w:val="0"/>
      <w:marBottom w:val="0"/>
      <w:divBdr>
        <w:top w:val="none" w:sz="0" w:space="0" w:color="auto"/>
        <w:left w:val="none" w:sz="0" w:space="0" w:color="auto"/>
        <w:bottom w:val="none" w:sz="0" w:space="0" w:color="auto"/>
        <w:right w:val="none" w:sz="0" w:space="0" w:color="auto"/>
      </w:divBdr>
    </w:div>
    <w:div w:id="595407377">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9751105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7407944">
      <w:bodyDiv w:val="1"/>
      <w:marLeft w:val="0"/>
      <w:marRight w:val="0"/>
      <w:marTop w:val="0"/>
      <w:marBottom w:val="0"/>
      <w:divBdr>
        <w:top w:val="none" w:sz="0" w:space="0" w:color="auto"/>
        <w:left w:val="none" w:sz="0" w:space="0" w:color="auto"/>
        <w:bottom w:val="none" w:sz="0" w:space="0" w:color="auto"/>
        <w:right w:val="none" w:sz="0" w:space="0" w:color="auto"/>
      </w:divBdr>
    </w:div>
    <w:div w:id="829249725">
      <w:bodyDiv w:val="1"/>
      <w:marLeft w:val="0"/>
      <w:marRight w:val="0"/>
      <w:marTop w:val="0"/>
      <w:marBottom w:val="0"/>
      <w:divBdr>
        <w:top w:val="none" w:sz="0" w:space="0" w:color="auto"/>
        <w:left w:val="none" w:sz="0" w:space="0" w:color="auto"/>
        <w:bottom w:val="none" w:sz="0" w:space="0" w:color="auto"/>
        <w:right w:val="none" w:sz="0" w:space="0" w:color="auto"/>
      </w:divBdr>
    </w:div>
    <w:div w:id="945502488">
      <w:bodyDiv w:val="1"/>
      <w:marLeft w:val="0"/>
      <w:marRight w:val="0"/>
      <w:marTop w:val="0"/>
      <w:marBottom w:val="0"/>
      <w:divBdr>
        <w:top w:val="none" w:sz="0" w:space="0" w:color="auto"/>
        <w:left w:val="none" w:sz="0" w:space="0" w:color="auto"/>
        <w:bottom w:val="none" w:sz="0" w:space="0" w:color="auto"/>
        <w:right w:val="none" w:sz="0" w:space="0" w:color="auto"/>
      </w:divBdr>
    </w:div>
    <w:div w:id="979726481">
      <w:bodyDiv w:val="1"/>
      <w:marLeft w:val="0"/>
      <w:marRight w:val="0"/>
      <w:marTop w:val="0"/>
      <w:marBottom w:val="0"/>
      <w:divBdr>
        <w:top w:val="none" w:sz="0" w:space="0" w:color="auto"/>
        <w:left w:val="none" w:sz="0" w:space="0" w:color="auto"/>
        <w:bottom w:val="none" w:sz="0" w:space="0" w:color="auto"/>
        <w:right w:val="none" w:sz="0" w:space="0" w:color="auto"/>
      </w:divBdr>
    </w:div>
    <w:div w:id="998114924">
      <w:bodyDiv w:val="1"/>
      <w:marLeft w:val="0"/>
      <w:marRight w:val="0"/>
      <w:marTop w:val="0"/>
      <w:marBottom w:val="0"/>
      <w:divBdr>
        <w:top w:val="none" w:sz="0" w:space="0" w:color="auto"/>
        <w:left w:val="none" w:sz="0" w:space="0" w:color="auto"/>
        <w:bottom w:val="none" w:sz="0" w:space="0" w:color="auto"/>
        <w:right w:val="none" w:sz="0" w:space="0" w:color="auto"/>
      </w:divBdr>
    </w:div>
    <w:div w:id="1000354033">
      <w:bodyDiv w:val="1"/>
      <w:marLeft w:val="0"/>
      <w:marRight w:val="0"/>
      <w:marTop w:val="0"/>
      <w:marBottom w:val="0"/>
      <w:divBdr>
        <w:top w:val="none" w:sz="0" w:space="0" w:color="auto"/>
        <w:left w:val="none" w:sz="0" w:space="0" w:color="auto"/>
        <w:bottom w:val="none" w:sz="0" w:space="0" w:color="auto"/>
        <w:right w:val="none" w:sz="0" w:space="0" w:color="auto"/>
      </w:divBdr>
    </w:div>
    <w:div w:id="1100756693">
      <w:bodyDiv w:val="1"/>
      <w:marLeft w:val="0"/>
      <w:marRight w:val="0"/>
      <w:marTop w:val="0"/>
      <w:marBottom w:val="0"/>
      <w:divBdr>
        <w:top w:val="none" w:sz="0" w:space="0" w:color="auto"/>
        <w:left w:val="none" w:sz="0" w:space="0" w:color="auto"/>
        <w:bottom w:val="none" w:sz="0" w:space="0" w:color="auto"/>
        <w:right w:val="none" w:sz="0" w:space="0" w:color="auto"/>
      </w:divBdr>
    </w:div>
    <w:div w:id="1112742660">
      <w:bodyDiv w:val="1"/>
      <w:marLeft w:val="0"/>
      <w:marRight w:val="0"/>
      <w:marTop w:val="0"/>
      <w:marBottom w:val="0"/>
      <w:divBdr>
        <w:top w:val="none" w:sz="0" w:space="0" w:color="auto"/>
        <w:left w:val="none" w:sz="0" w:space="0" w:color="auto"/>
        <w:bottom w:val="none" w:sz="0" w:space="0" w:color="auto"/>
        <w:right w:val="none" w:sz="0" w:space="0" w:color="auto"/>
      </w:divBdr>
    </w:div>
    <w:div w:id="1134516807">
      <w:bodyDiv w:val="1"/>
      <w:marLeft w:val="0"/>
      <w:marRight w:val="0"/>
      <w:marTop w:val="0"/>
      <w:marBottom w:val="0"/>
      <w:divBdr>
        <w:top w:val="none" w:sz="0" w:space="0" w:color="auto"/>
        <w:left w:val="none" w:sz="0" w:space="0" w:color="auto"/>
        <w:bottom w:val="none" w:sz="0" w:space="0" w:color="auto"/>
        <w:right w:val="none" w:sz="0" w:space="0" w:color="auto"/>
      </w:divBdr>
    </w:div>
    <w:div w:id="1142504957">
      <w:bodyDiv w:val="1"/>
      <w:marLeft w:val="0"/>
      <w:marRight w:val="0"/>
      <w:marTop w:val="0"/>
      <w:marBottom w:val="0"/>
      <w:divBdr>
        <w:top w:val="none" w:sz="0" w:space="0" w:color="auto"/>
        <w:left w:val="none" w:sz="0" w:space="0" w:color="auto"/>
        <w:bottom w:val="none" w:sz="0" w:space="0" w:color="auto"/>
        <w:right w:val="none" w:sz="0" w:space="0" w:color="auto"/>
      </w:divBdr>
    </w:div>
    <w:div w:id="1185629848">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7180788">
      <w:bodyDiv w:val="1"/>
      <w:marLeft w:val="0"/>
      <w:marRight w:val="0"/>
      <w:marTop w:val="0"/>
      <w:marBottom w:val="0"/>
      <w:divBdr>
        <w:top w:val="none" w:sz="0" w:space="0" w:color="auto"/>
        <w:left w:val="none" w:sz="0" w:space="0" w:color="auto"/>
        <w:bottom w:val="none" w:sz="0" w:space="0" w:color="auto"/>
        <w:right w:val="none" w:sz="0" w:space="0" w:color="auto"/>
      </w:divBdr>
    </w:div>
    <w:div w:id="1281109018">
      <w:bodyDiv w:val="1"/>
      <w:marLeft w:val="0"/>
      <w:marRight w:val="0"/>
      <w:marTop w:val="0"/>
      <w:marBottom w:val="0"/>
      <w:divBdr>
        <w:top w:val="none" w:sz="0" w:space="0" w:color="auto"/>
        <w:left w:val="none" w:sz="0" w:space="0" w:color="auto"/>
        <w:bottom w:val="none" w:sz="0" w:space="0" w:color="auto"/>
        <w:right w:val="none" w:sz="0" w:space="0" w:color="auto"/>
      </w:divBdr>
    </w:div>
    <w:div w:id="1288857966">
      <w:bodyDiv w:val="1"/>
      <w:marLeft w:val="0"/>
      <w:marRight w:val="0"/>
      <w:marTop w:val="0"/>
      <w:marBottom w:val="0"/>
      <w:divBdr>
        <w:top w:val="none" w:sz="0" w:space="0" w:color="auto"/>
        <w:left w:val="none" w:sz="0" w:space="0" w:color="auto"/>
        <w:bottom w:val="none" w:sz="0" w:space="0" w:color="auto"/>
        <w:right w:val="none" w:sz="0" w:space="0" w:color="auto"/>
      </w:divBdr>
    </w:div>
    <w:div w:id="1339120216">
      <w:bodyDiv w:val="1"/>
      <w:marLeft w:val="0"/>
      <w:marRight w:val="0"/>
      <w:marTop w:val="0"/>
      <w:marBottom w:val="0"/>
      <w:divBdr>
        <w:top w:val="none" w:sz="0" w:space="0" w:color="auto"/>
        <w:left w:val="none" w:sz="0" w:space="0" w:color="auto"/>
        <w:bottom w:val="none" w:sz="0" w:space="0" w:color="auto"/>
        <w:right w:val="none" w:sz="0" w:space="0" w:color="auto"/>
      </w:divBdr>
    </w:div>
    <w:div w:id="1361316534">
      <w:bodyDiv w:val="1"/>
      <w:marLeft w:val="0"/>
      <w:marRight w:val="0"/>
      <w:marTop w:val="0"/>
      <w:marBottom w:val="0"/>
      <w:divBdr>
        <w:top w:val="none" w:sz="0" w:space="0" w:color="auto"/>
        <w:left w:val="none" w:sz="0" w:space="0" w:color="auto"/>
        <w:bottom w:val="none" w:sz="0" w:space="0" w:color="auto"/>
        <w:right w:val="none" w:sz="0" w:space="0" w:color="auto"/>
      </w:divBdr>
    </w:div>
    <w:div w:id="1377002946">
      <w:bodyDiv w:val="1"/>
      <w:marLeft w:val="0"/>
      <w:marRight w:val="0"/>
      <w:marTop w:val="0"/>
      <w:marBottom w:val="0"/>
      <w:divBdr>
        <w:top w:val="none" w:sz="0" w:space="0" w:color="auto"/>
        <w:left w:val="none" w:sz="0" w:space="0" w:color="auto"/>
        <w:bottom w:val="none" w:sz="0" w:space="0" w:color="auto"/>
        <w:right w:val="none" w:sz="0" w:space="0" w:color="auto"/>
      </w:divBdr>
    </w:div>
    <w:div w:id="1448890783">
      <w:bodyDiv w:val="1"/>
      <w:marLeft w:val="0"/>
      <w:marRight w:val="0"/>
      <w:marTop w:val="0"/>
      <w:marBottom w:val="0"/>
      <w:divBdr>
        <w:top w:val="none" w:sz="0" w:space="0" w:color="auto"/>
        <w:left w:val="none" w:sz="0" w:space="0" w:color="auto"/>
        <w:bottom w:val="none" w:sz="0" w:space="0" w:color="auto"/>
        <w:right w:val="none" w:sz="0" w:space="0" w:color="auto"/>
      </w:divBdr>
    </w:div>
    <w:div w:id="1462773642">
      <w:bodyDiv w:val="1"/>
      <w:marLeft w:val="0"/>
      <w:marRight w:val="0"/>
      <w:marTop w:val="0"/>
      <w:marBottom w:val="0"/>
      <w:divBdr>
        <w:top w:val="none" w:sz="0" w:space="0" w:color="auto"/>
        <w:left w:val="none" w:sz="0" w:space="0" w:color="auto"/>
        <w:bottom w:val="none" w:sz="0" w:space="0" w:color="auto"/>
        <w:right w:val="none" w:sz="0" w:space="0" w:color="auto"/>
      </w:divBdr>
    </w:div>
    <w:div w:id="1488550275">
      <w:bodyDiv w:val="1"/>
      <w:marLeft w:val="0"/>
      <w:marRight w:val="0"/>
      <w:marTop w:val="0"/>
      <w:marBottom w:val="0"/>
      <w:divBdr>
        <w:top w:val="none" w:sz="0" w:space="0" w:color="auto"/>
        <w:left w:val="none" w:sz="0" w:space="0" w:color="auto"/>
        <w:bottom w:val="none" w:sz="0" w:space="0" w:color="auto"/>
        <w:right w:val="none" w:sz="0" w:space="0" w:color="auto"/>
      </w:divBdr>
    </w:div>
    <w:div w:id="1512645968">
      <w:bodyDiv w:val="1"/>
      <w:marLeft w:val="0"/>
      <w:marRight w:val="0"/>
      <w:marTop w:val="0"/>
      <w:marBottom w:val="0"/>
      <w:divBdr>
        <w:top w:val="none" w:sz="0" w:space="0" w:color="auto"/>
        <w:left w:val="none" w:sz="0" w:space="0" w:color="auto"/>
        <w:bottom w:val="none" w:sz="0" w:space="0" w:color="auto"/>
        <w:right w:val="none" w:sz="0" w:space="0" w:color="auto"/>
      </w:divBdr>
    </w:div>
    <w:div w:id="1559248944">
      <w:bodyDiv w:val="1"/>
      <w:marLeft w:val="0"/>
      <w:marRight w:val="0"/>
      <w:marTop w:val="0"/>
      <w:marBottom w:val="0"/>
      <w:divBdr>
        <w:top w:val="none" w:sz="0" w:space="0" w:color="auto"/>
        <w:left w:val="none" w:sz="0" w:space="0" w:color="auto"/>
        <w:bottom w:val="none" w:sz="0" w:space="0" w:color="auto"/>
        <w:right w:val="none" w:sz="0" w:space="0" w:color="auto"/>
      </w:divBdr>
    </w:div>
    <w:div w:id="1571381714">
      <w:bodyDiv w:val="1"/>
      <w:marLeft w:val="0"/>
      <w:marRight w:val="0"/>
      <w:marTop w:val="0"/>
      <w:marBottom w:val="0"/>
      <w:divBdr>
        <w:top w:val="none" w:sz="0" w:space="0" w:color="auto"/>
        <w:left w:val="none" w:sz="0" w:space="0" w:color="auto"/>
        <w:bottom w:val="none" w:sz="0" w:space="0" w:color="auto"/>
        <w:right w:val="none" w:sz="0" w:space="0" w:color="auto"/>
      </w:divBdr>
    </w:div>
    <w:div w:id="1576548113">
      <w:bodyDiv w:val="1"/>
      <w:marLeft w:val="0"/>
      <w:marRight w:val="0"/>
      <w:marTop w:val="0"/>
      <w:marBottom w:val="0"/>
      <w:divBdr>
        <w:top w:val="none" w:sz="0" w:space="0" w:color="auto"/>
        <w:left w:val="none" w:sz="0" w:space="0" w:color="auto"/>
        <w:bottom w:val="none" w:sz="0" w:space="0" w:color="auto"/>
        <w:right w:val="none" w:sz="0" w:space="0" w:color="auto"/>
      </w:divBdr>
    </w:div>
    <w:div w:id="1704987362">
      <w:bodyDiv w:val="1"/>
      <w:marLeft w:val="0"/>
      <w:marRight w:val="0"/>
      <w:marTop w:val="0"/>
      <w:marBottom w:val="0"/>
      <w:divBdr>
        <w:top w:val="none" w:sz="0" w:space="0" w:color="auto"/>
        <w:left w:val="none" w:sz="0" w:space="0" w:color="auto"/>
        <w:bottom w:val="none" w:sz="0" w:space="0" w:color="auto"/>
        <w:right w:val="none" w:sz="0" w:space="0" w:color="auto"/>
      </w:divBdr>
    </w:div>
    <w:div w:id="1713768831">
      <w:bodyDiv w:val="1"/>
      <w:marLeft w:val="0"/>
      <w:marRight w:val="0"/>
      <w:marTop w:val="0"/>
      <w:marBottom w:val="0"/>
      <w:divBdr>
        <w:top w:val="none" w:sz="0" w:space="0" w:color="auto"/>
        <w:left w:val="none" w:sz="0" w:space="0" w:color="auto"/>
        <w:bottom w:val="none" w:sz="0" w:space="0" w:color="auto"/>
        <w:right w:val="none" w:sz="0" w:space="0" w:color="auto"/>
      </w:divBdr>
    </w:div>
    <w:div w:id="1789621538">
      <w:bodyDiv w:val="1"/>
      <w:marLeft w:val="0"/>
      <w:marRight w:val="0"/>
      <w:marTop w:val="0"/>
      <w:marBottom w:val="0"/>
      <w:divBdr>
        <w:top w:val="none" w:sz="0" w:space="0" w:color="auto"/>
        <w:left w:val="none" w:sz="0" w:space="0" w:color="auto"/>
        <w:bottom w:val="none" w:sz="0" w:space="0" w:color="auto"/>
        <w:right w:val="none" w:sz="0" w:space="0" w:color="auto"/>
      </w:divBdr>
    </w:div>
    <w:div w:id="1804347387">
      <w:bodyDiv w:val="1"/>
      <w:marLeft w:val="0"/>
      <w:marRight w:val="0"/>
      <w:marTop w:val="0"/>
      <w:marBottom w:val="0"/>
      <w:divBdr>
        <w:top w:val="none" w:sz="0" w:space="0" w:color="auto"/>
        <w:left w:val="none" w:sz="0" w:space="0" w:color="auto"/>
        <w:bottom w:val="none" w:sz="0" w:space="0" w:color="auto"/>
        <w:right w:val="none" w:sz="0" w:space="0" w:color="auto"/>
      </w:divBdr>
    </w:div>
    <w:div w:id="181313082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1731988">
      <w:bodyDiv w:val="1"/>
      <w:marLeft w:val="0"/>
      <w:marRight w:val="0"/>
      <w:marTop w:val="0"/>
      <w:marBottom w:val="0"/>
      <w:divBdr>
        <w:top w:val="none" w:sz="0" w:space="0" w:color="auto"/>
        <w:left w:val="none" w:sz="0" w:space="0" w:color="auto"/>
        <w:bottom w:val="none" w:sz="0" w:space="0" w:color="auto"/>
        <w:right w:val="none" w:sz="0" w:space="0" w:color="auto"/>
      </w:divBdr>
    </w:div>
    <w:div w:id="1849904831">
      <w:bodyDiv w:val="1"/>
      <w:marLeft w:val="0"/>
      <w:marRight w:val="0"/>
      <w:marTop w:val="0"/>
      <w:marBottom w:val="0"/>
      <w:divBdr>
        <w:top w:val="none" w:sz="0" w:space="0" w:color="auto"/>
        <w:left w:val="none" w:sz="0" w:space="0" w:color="auto"/>
        <w:bottom w:val="none" w:sz="0" w:space="0" w:color="auto"/>
        <w:right w:val="none" w:sz="0" w:space="0" w:color="auto"/>
      </w:divBdr>
    </w:div>
    <w:div w:id="1857883073">
      <w:bodyDiv w:val="1"/>
      <w:marLeft w:val="0"/>
      <w:marRight w:val="0"/>
      <w:marTop w:val="0"/>
      <w:marBottom w:val="0"/>
      <w:divBdr>
        <w:top w:val="none" w:sz="0" w:space="0" w:color="auto"/>
        <w:left w:val="none" w:sz="0" w:space="0" w:color="auto"/>
        <w:bottom w:val="none" w:sz="0" w:space="0" w:color="auto"/>
        <w:right w:val="none" w:sz="0" w:space="0" w:color="auto"/>
      </w:divBdr>
    </w:div>
    <w:div w:id="1864442938">
      <w:bodyDiv w:val="1"/>
      <w:marLeft w:val="0"/>
      <w:marRight w:val="0"/>
      <w:marTop w:val="0"/>
      <w:marBottom w:val="0"/>
      <w:divBdr>
        <w:top w:val="none" w:sz="0" w:space="0" w:color="auto"/>
        <w:left w:val="none" w:sz="0" w:space="0" w:color="auto"/>
        <w:bottom w:val="none" w:sz="0" w:space="0" w:color="auto"/>
        <w:right w:val="none" w:sz="0" w:space="0" w:color="auto"/>
      </w:divBdr>
    </w:div>
    <w:div w:id="1870796685">
      <w:bodyDiv w:val="1"/>
      <w:marLeft w:val="0"/>
      <w:marRight w:val="0"/>
      <w:marTop w:val="0"/>
      <w:marBottom w:val="0"/>
      <w:divBdr>
        <w:top w:val="none" w:sz="0" w:space="0" w:color="auto"/>
        <w:left w:val="none" w:sz="0" w:space="0" w:color="auto"/>
        <w:bottom w:val="none" w:sz="0" w:space="0" w:color="auto"/>
        <w:right w:val="none" w:sz="0" w:space="0" w:color="auto"/>
      </w:divBdr>
    </w:div>
    <w:div w:id="1872834962">
      <w:bodyDiv w:val="1"/>
      <w:marLeft w:val="0"/>
      <w:marRight w:val="0"/>
      <w:marTop w:val="0"/>
      <w:marBottom w:val="0"/>
      <w:divBdr>
        <w:top w:val="none" w:sz="0" w:space="0" w:color="auto"/>
        <w:left w:val="none" w:sz="0" w:space="0" w:color="auto"/>
        <w:bottom w:val="none" w:sz="0" w:space="0" w:color="auto"/>
        <w:right w:val="none" w:sz="0" w:space="0" w:color="auto"/>
      </w:divBdr>
    </w:div>
    <w:div w:id="1878005736">
      <w:bodyDiv w:val="1"/>
      <w:marLeft w:val="0"/>
      <w:marRight w:val="0"/>
      <w:marTop w:val="0"/>
      <w:marBottom w:val="0"/>
      <w:divBdr>
        <w:top w:val="none" w:sz="0" w:space="0" w:color="auto"/>
        <w:left w:val="none" w:sz="0" w:space="0" w:color="auto"/>
        <w:bottom w:val="none" w:sz="0" w:space="0" w:color="auto"/>
        <w:right w:val="none" w:sz="0" w:space="0" w:color="auto"/>
      </w:divBdr>
    </w:div>
    <w:div w:id="1924296462">
      <w:bodyDiv w:val="1"/>
      <w:marLeft w:val="0"/>
      <w:marRight w:val="0"/>
      <w:marTop w:val="0"/>
      <w:marBottom w:val="0"/>
      <w:divBdr>
        <w:top w:val="none" w:sz="0" w:space="0" w:color="auto"/>
        <w:left w:val="none" w:sz="0" w:space="0" w:color="auto"/>
        <w:bottom w:val="none" w:sz="0" w:space="0" w:color="auto"/>
        <w:right w:val="none" w:sz="0" w:space="0" w:color="auto"/>
      </w:divBdr>
    </w:div>
    <w:div w:id="1949000320">
      <w:bodyDiv w:val="1"/>
      <w:marLeft w:val="0"/>
      <w:marRight w:val="0"/>
      <w:marTop w:val="0"/>
      <w:marBottom w:val="0"/>
      <w:divBdr>
        <w:top w:val="none" w:sz="0" w:space="0" w:color="auto"/>
        <w:left w:val="none" w:sz="0" w:space="0" w:color="auto"/>
        <w:bottom w:val="none" w:sz="0" w:space="0" w:color="auto"/>
        <w:right w:val="none" w:sz="0" w:space="0" w:color="auto"/>
      </w:divBdr>
    </w:div>
    <w:div w:id="2039816090">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269656">
      <w:bodyDiv w:val="1"/>
      <w:marLeft w:val="0"/>
      <w:marRight w:val="0"/>
      <w:marTop w:val="0"/>
      <w:marBottom w:val="0"/>
      <w:divBdr>
        <w:top w:val="none" w:sz="0" w:space="0" w:color="auto"/>
        <w:left w:val="none" w:sz="0" w:space="0" w:color="auto"/>
        <w:bottom w:val="none" w:sz="0" w:space="0" w:color="auto"/>
        <w:right w:val="none" w:sz="0" w:space="0" w:color="auto"/>
      </w:divBdr>
    </w:div>
    <w:div w:id="2115859403">
      <w:bodyDiv w:val="1"/>
      <w:marLeft w:val="0"/>
      <w:marRight w:val="0"/>
      <w:marTop w:val="0"/>
      <w:marBottom w:val="0"/>
      <w:divBdr>
        <w:top w:val="none" w:sz="0" w:space="0" w:color="auto"/>
        <w:left w:val="none" w:sz="0" w:space="0" w:color="auto"/>
        <w:bottom w:val="none" w:sz="0" w:space="0" w:color="auto"/>
        <w:right w:val="none" w:sz="0" w:space="0" w:color="auto"/>
      </w:divBdr>
    </w:div>
    <w:div w:id="2121609154">
      <w:bodyDiv w:val="1"/>
      <w:marLeft w:val="0"/>
      <w:marRight w:val="0"/>
      <w:marTop w:val="0"/>
      <w:marBottom w:val="0"/>
      <w:divBdr>
        <w:top w:val="none" w:sz="0" w:space="0" w:color="auto"/>
        <w:left w:val="none" w:sz="0" w:space="0" w:color="auto"/>
        <w:bottom w:val="none" w:sz="0" w:space="0" w:color="auto"/>
        <w:right w:val="none" w:sz="0" w:space="0" w:color="auto"/>
      </w:divBdr>
    </w:div>
    <w:div w:id="2126607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comments" Target="comments.xml"/><Relationship Id="rId26" Type="http://schemas.openxmlformats.org/officeDocument/2006/relationships/hyperlink" Target="https://web.archive.org/web/20210421141241/https:/www.bis.org/bcbs/publ/d518.htm" TargetMode="External"/><Relationship Id="rId21" Type="http://schemas.microsoft.com/office/2018/08/relationships/commentsExtensible" Target="commentsExtensible.xml"/><Relationship Id="rId34"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file:///\\ProfilesMUS\sMyDocs$\nada\Documents\Pro%20bono\Oxford%20Climate%20Policy%20Monitor%202025\UAE%20reports\Principles%20for%20the%20effective%20management%20of%20climate-related%20financial%20risks%20UAE.pdf" TargetMode="External"/><Relationship Id="rId25" Type="http://schemas.openxmlformats.org/officeDocument/2006/relationships/hyperlink" Target="https://web.archive.org/web/20200422095941/https:/www.bis.org/bcbs/publ/d502.htm" TargetMode="External"/><Relationship Id="rId33" Type="http://schemas.openxmlformats.org/officeDocument/2006/relationships/hyperlink" Target="https://web.archive.org/web/20210528112000/https:/www.iaisweb.org/page/supervisory-material/application-papers/file/96241/application-paper-on-the-supervision-of-climate-related-risks-in-the-insurance-sector" TargetMode="External"/><Relationship Id="rId2" Type="http://schemas.openxmlformats.org/officeDocument/2006/relationships/customXml" Target="../customXml/item2.xml"/><Relationship Id="rId16" Type="http://schemas.openxmlformats.org/officeDocument/2006/relationships/footer" Target="footer3.xml"/><Relationship Id="rId20" Type="http://schemas.microsoft.com/office/2016/09/relationships/commentsIds" Target="commentsIds.xml"/><Relationship Id="rId29" Type="http://schemas.openxmlformats.org/officeDocument/2006/relationships/hyperlink" Target="https://web.archive.org/web/20200617095836/https:/www.ngfs.net/sites/default/files/medias/documents/ngfs_guide_for_supervisors.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20615134433/https:/www.bis.org/bcbs/publ/d532.htm" TargetMode="External"/><Relationship Id="rId32" Type="http://schemas.openxmlformats.org/officeDocument/2006/relationships/hyperlink" Target="https://web.archive.org/web/20170629104027/https:/www.fsb-tcfd.org/publications/final-recommendations-report/"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28" Type="http://schemas.openxmlformats.org/officeDocument/2006/relationships/hyperlink" Target="https://web.archive.org/web/20221215095941/https:/www.bis.org/bcbs/publ/d543.htm" TargetMode="External"/><Relationship Id="rId36" Type="http://schemas.microsoft.com/office/2011/relationships/people" Target="people.xml"/><Relationship Id="rId10" Type="http://schemas.openxmlformats.org/officeDocument/2006/relationships/endnotes" Target="endnotes.xml"/><Relationship Id="rId19" Type="http://schemas.microsoft.com/office/2011/relationships/commentsExtended" Target="commentsExtended.xml"/><Relationship Id="rId31" Type="http://schemas.openxmlformats.org/officeDocument/2006/relationships/hyperlink" Target="https://web.archive.org/web/20221013122800/https:/www.fsb.org/2022/10/supervisory-and-regulatory-approaches-to-climate-related-risks/"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 Id="rId27" Type="http://schemas.openxmlformats.org/officeDocument/2006/relationships/hyperlink" Target="https://web.archive.org/web/20210421141241/https:/www.bis.org/bcbs/publ/d517.htm" TargetMode="External"/><Relationship Id="rId30" Type="http://schemas.openxmlformats.org/officeDocument/2006/relationships/hyperlink" Target="https://web.archive.org/web/20221006121200/https:/www.ngfs.net/ngfs-scenarios-portal/" TargetMode="External"/><Relationship Id="rId35"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114</Pages>
  <Words>26619</Words>
  <Characters>139752</Characters>
  <Application>Microsoft Office Word</Application>
  <DocSecurity>0</DocSecurity>
  <Lines>2540</Lines>
  <Paragraphs>1330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165041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10</cp:revision>
  <cp:lastPrinted>2025-03-21T00:14:00Z</cp:lastPrinted>
  <dcterms:created xsi:type="dcterms:W3CDTF">2025-07-27T10:39:00Z</dcterms:created>
  <dcterms:modified xsi:type="dcterms:W3CDTF">2025-07-27T13:16:00Z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